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2899D" w14:textId="77777777" w:rsidR="00A07B79" w:rsidRDefault="00A07B79" w:rsidP="00A07B79">
      <w:pPr>
        <w:shd w:val="clear" w:color="auto" w:fill="FFFFFF"/>
        <w:spacing w:line="276" w:lineRule="auto"/>
        <w:jc w:val="both"/>
        <w:textAlignment w:val="baseline"/>
      </w:pPr>
      <w:r>
        <w:rPr>
          <w:rFonts w:ascii="Verdana" w:hAnsi="Verdana"/>
          <w:color w:val="1D1D1D"/>
          <w:sz w:val="22"/>
          <w:szCs w:val="22"/>
        </w:rPr>
        <w:t>Please see below the changes since v1.0 of the SOP:</w:t>
      </w:r>
    </w:p>
    <w:p w14:paraId="091615D8" w14:textId="77777777" w:rsidR="00A07B79" w:rsidRDefault="00A07B79" w:rsidP="00A07B79">
      <w:pPr>
        <w:shd w:val="clear" w:color="auto" w:fill="FFFFFF"/>
        <w:spacing w:line="276" w:lineRule="auto"/>
        <w:jc w:val="both"/>
        <w:textAlignment w:val="baseline"/>
      </w:pPr>
      <w:r>
        <w:rPr>
          <w:rFonts w:ascii="Verdana" w:hAnsi="Verdana"/>
          <w:color w:val="000000"/>
          <w:sz w:val="22"/>
          <w:szCs w:val="22"/>
        </w:rPr>
        <w:t> </w:t>
      </w:r>
    </w:p>
    <w:p w14:paraId="2F50AFB9" w14:textId="77777777" w:rsidR="00A07B79" w:rsidRDefault="00A07B79" w:rsidP="00A07B79">
      <w:pPr>
        <w:numPr>
          <w:ilvl w:val="0"/>
          <w:numId w:val="1"/>
        </w:numPr>
        <w:shd w:val="clear" w:color="auto" w:fill="FFFFFF"/>
        <w:spacing w:line="276" w:lineRule="auto"/>
        <w:jc w:val="both"/>
        <w:textAlignment w:val="baseline"/>
        <w:rPr>
          <w:color w:val="000000"/>
        </w:rPr>
      </w:pPr>
      <w:r>
        <w:rPr>
          <w:rFonts w:ascii="Verdana" w:hAnsi="Verdana"/>
          <w:b/>
          <w:bCs/>
          <w:color w:val="000000"/>
          <w:sz w:val="22"/>
          <w:szCs w:val="22"/>
          <w:lang w:eastAsia="ja-JP"/>
          <w14:ligatures w14:val="none"/>
        </w:rPr>
        <w:t>Eligibility Assessment (Inclusion Criteria)</w:t>
      </w:r>
    </w:p>
    <w:p w14:paraId="45722526" w14:textId="77777777" w:rsidR="00A07B79" w:rsidRDefault="00A07B79" w:rsidP="00A07B79">
      <w:pPr>
        <w:shd w:val="clear" w:color="auto" w:fill="FFFFFF"/>
        <w:spacing w:line="276" w:lineRule="auto"/>
        <w:ind w:left="720"/>
        <w:contextualSpacing/>
        <w:jc w:val="both"/>
        <w:textAlignment w:val="baseline"/>
      </w:pPr>
      <w:r>
        <w:rPr>
          <w:rFonts w:ascii="Verdana" w:hAnsi="Verdana"/>
          <w:i/>
          <w:iCs/>
          <w:color w:val="000000"/>
          <w:sz w:val="22"/>
          <w:szCs w:val="22"/>
          <w:lang w:eastAsia="ja-JP"/>
          <w14:ligatures w14:val="none"/>
        </w:rPr>
        <w:t>New requirement added:</w:t>
      </w:r>
    </w:p>
    <w:p w14:paraId="4707ED95" w14:textId="77777777" w:rsidR="00A07B79" w:rsidRDefault="00A07B79" w:rsidP="00A07B79">
      <w:pPr>
        <w:numPr>
          <w:ilvl w:val="0"/>
          <w:numId w:val="2"/>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Patients must now have "Undetectable viral load for Epstein-Barr virus (EBV) and cytomegalovirus (CMV) infection by e.g., polymerase chain reaction (PCR) testing" before treatment can begin.</w:t>
      </w:r>
    </w:p>
    <w:p w14:paraId="1632519C" w14:textId="77777777" w:rsidR="00A07B79" w:rsidRDefault="00A07B79" w:rsidP="00A07B79">
      <w:pPr>
        <w:spacing w:before="100" w:beforeAutospacing="1" w:after="100" w:afterAutospacing="1"/>
        <w:ind w:left="720"/>
        <w:contextualSpacing/>
        <w:textAlignment w:val="baseline"/>
      </w:pPr>
      <w:r>
        <w:rPr>
          <w:rFonts w:ascii="Verdana" w:hAnsi="Verdana"/>
          <w:color w:val="000000"/>
          <w:sz w:val="22"/>
          <w:szCs w:val="22"/>
          <w:lang w:eastAsia="ja-JP"/>
          <w14:ligatures w14:val="none"/>
        </w:rPr>
        <w:t> </w:t>
      </w:r>
    </w:p>
    <w:p w14:paraId="23719767" w14:textId="77777777" w:rsidR="00A07B79" w:rsidRDefault="00A07B79" w:rsidP="00A07B79">
      <w:pPr>
        <w:numPr>
          <w:ilvl w:val="0"/>
          <w:numId w:val="1"/>
        </w:numPr>
        <w:spacing w:before="100" w:beforeAutospacing="1" w:after="100" w:afterAutospacing="1"/>
        <w:contextualSpacing/>
        <w:textAlignment w:val="baseline"/>
        <w:rPr>
          <w:color w:val="000000"/>
        </w:rPr>
      </w:pPr>
      <w:r>
        <w:rPr>
          <w:rFonts w:ascii="Verdana" w:hAnsi="Verdana"/>
          <w:b/>
          <w:bCs/>
          <w:color w:val="000000"/>
          <w:sz w:val="22"/>
          <w:szCs w:val="22"/>
          <w:lang w:eastAsia="ja-JP"/>
          <w14:ligatures w14:val="none"/>
        </w:rPr>
        <w:t>Baseline Assessment (Laboratory Tests)</w:t>
      </w:r>
    </w:p>
    <w:p w14:paraId="57CA1A11" w14:textId="77777777" w:rsidR="00A07B79" w:rsidRDefault="00A07B79" w:rsidP="00A07B79">
      <w:pPr>
        <w:spacing w:before="100" w:beforeAutospacing="1" w:after="100" w:afterAutospacing="1"/>
        <w:ind w:left="720"/>
        <w:contextualSpacing/>
        <w:textAlignment w:val="baseline"/>
      </w:pPr>
      <w:r>
        <w:rPr>
          <w:rFonts w:ascii="Verdana" w:hAnsi="Verdana"/>
          <w:i/>
          <w:iCs/>
          <w:color w:val="000000"/>
          <w:sz w:val="22"/>
          <w:szCs w:val="22"/>
          <w:lang w:eastAsia="ja-JP"/>
          <w14:ligatures w14:val="none"/>
        </w:rPr>
        <w:t>Enhanced specificity:</w:t>
      </w:r>
    </w:p>
    <w:p w14:paraId="7F56DB3C" w14:textId="77777777" w:rsidR="00A07B79" w:rsidRDefault="00A07B79" w:rsidP="00A07B79">
      <w:pPr>
        <w:numPr>
          <w:ilvl w:val="0"/>
          <w:numId w:val="3"/>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v1 stated: "Laboratory or clinical evidence of acute infection with EBV or CMV" as exclusion</w:t>
      </w:r>
    </w:p>
    <w:p w14:paraId="42257D90" w14:textId="77777777" w:rsidR="00A07B79" w:rsidRDefault="00A07B79" w:rsidP="00A07B79">
      <w:pPr>
        <w:numPr>
          <w:ilvl w:val="0"/>
          <w:numId w:val="3"/>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 xml:space="preserve">v3 now explicitly requires: </w:t>
      </w:r>
    </w:p>
    <w:p w14:paraId="334EE564" w14:textId="77777777" w:rsidR="00A07B79" w:rsidRDefault="00A07B79" w:rsidP="00A07B79">
      <w:pPr>
        <w:numPr>
          <w:ilvl w:val="1"/>
          <w:numId w:val="3"/>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EBV PCR (IgM): Negative plus no clinical evidence of acute infection</w:t>
      </w:r>
    </w:p>
    <w:p w14:paraId="74C2EC44" w14:textId="77777777" w:rsidR="00A07B79" w:rsidRDefault="00A07B79" w:rsidP="00A07B79">
      <w:pPr>
        <w:numPr>
          <w:ilvl w:val="1"/>
          <w:numId w:val="3"/>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CMV PCR (IgM): Negative plus no clinical evidence of acute infection</w:t>
      </w:r>
    </w:p>
    <w:p w14:paraId="74EEDCB8" w14:textId="77777777" w:rsidR="00A07B79" w:rsidRDefault="00A07B79" w:rsidP="00A07B79">
      <w:pPr>
        <w:spacing w:before="100" w:beforeAutospacing="1" w:after="100" w:afterAutospacing="1"/>
        <w:ind w:left="1440"/>
        <w:contextualSpacing/>
        <w:textAlignment w:val="baseline"/>
      </w:pPr>
      <w:r>
        <w:rPr>
          <w:rFonts w:ascii="Verdana" w:hAnsi="Verdana"/>
          <w:color w:val="000000"/>
          <w:sz w:val="22"/>
          <w:szCs w:val="22"/>
          <w:lang w:eastAsia="ja-JP"/>
          <w14:ligatures w14:val="none"/>
        </w:rPr>
        <w:t> </w:t>
      </w:r>
    </w:p>
    <w:p w14:paraId="0A966DF7" w14:textId="77777777" w:rsidR="00A07B79" w:rsidRDefault="00A07B79" w:rsidP="00A07B79">
      <w:pPr>
        <w:numPr>
          <w:ilvl w:val="0"/>
          <w:numId w:val="1"/>
        </w:numPr>
        <w:spacing w:before="100" w:beforeAutospacing="1" w:after="100" w:afterAutospacing="1"/>
        <w:contextualSpacing/>
        <w:textAlignment w:val="baseline"/>
        <w:rPr>
          <w:color w:val="000000"/>
        </w:rPr>
      </w:pPr>
      <w:r>
        <w:rPr>
          <w:rFonts w:ascii="Verdana" w:hAnsi="Verdana"/>
          <w:b/>
          <w:bCs/>
          <w:color w:val="000000"/>
          <w:sz w:val="22"/>
          <w:szCs w:val="22"/>
          <w:lang w:eastAsia="ja-JP"/>
          <w14:ligatures w14:val="none"/>
        </w:rPr>
        <w:t>Shared Decision-Making (Risk discussion)</w:t>
      </w:r>
    </w:p>
    <w:p w14:paraId="48055E98" w14:textId="77777777" w:rsidR="00A07B79" w:rsidRDefault="00A07B79" w:rsidP="00A07B79">
      <w:pPr>
        <w:spacing w:before="100" w:beforeAutospacing="1" w:after="100" w:afterAutospacing="1"/>
        <w:ind w:left="720"/>
        <w:contextualSpacing/>
        <w:textAlignment w:val="baseline"/>
      </w:pPr>
      <w:r>
        <w:rPr>
          <w:rFonts w:ascii="Verdana" w:hAnsi="Verdana"/>
          <w:i/>
          <w:iCs/>
          <w:color w:val="000000"/>
          <w:sz w:val="22"/>
          <w:szCs w:val="22"/>
          <w:lang w:eastAsia="ja-JP"/>
          <w14:ligatures w14:val="none"/>
        </w:rPr>
        <w:t>Strengthened infection risk language:</w:t>
      </w:r>
    </w:p>
    <w:p w14:paraId="110ABA19" w14:textId="77777777" w:rsidR="00A07B79" w:rsidRDefault="00A07B79" w:rsidP="00A07B79">
      <w:pPr>
        <w:numPr>
          <w:ilvl w:val="0"/>
          <w:numId w:val="4"/>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 xml:space="preserve">v1: "Infection risk - no significant risk of severe infections has been seen in </w:t>
      </w:r>
      <w:proofErr w:type="gramStart"/>
      <w:r>
        <w:rPr>
          <w:rFonts w:ascii="Verdana" w:hAnsi="Verdana"/>
          <w:color w:val="000000"/>
          <w:sz w:val="22"/>
          <w:szCs w:val="22"/>
          <w:lang w:eastAsia="ja-JP"/>
          <w14:ligatures w14:val="none"/>
        </w:rPr>
        <w:t>studies</w:t>
      </w:r>
      <w:proofErr w:type="gramEnd"/>
      <w:r>
        <w:rPr>
          <w:rFonts w:ascii="Verdana" w:hAnsi="Verdana"/>
          <w:color w:val="000000"/>
          <w:sz w:val="22"/>
          <w:szCs w:val="22"/>
          <w:lang w:eastAsia="ja-JP"/>
          <w14:ligatures w14:val="none"/>
        </w:rPr>
        <w:t xml:space="preserve"> but lymphopenia and neutropenia may put patients at risk of infection"</w:t>
      </w:r>
    </w:p>
    <w:p w14:paraId="6392127E" w14:textId="77777777" w:rsidR="00A07B79" w:rsidRDefault="00A07B79" w:rsidP="00A07B79">
      <w:pPr>
        <w:numPr>
          <w:ilvl w:val="0"/>
          <w:numId w:val="4"/>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v3: "Infection risk - lymphopenia and neutropenia may put patients at risk of infection. Reactivation of EBV and CMV has been documented, for which patients should be tested prior to initiation of teplizumab”</w:t>
      </w:r>
    </w:p>
    <w:p w14:paraId="75DC5B90" w14:textId="77777777" w:rsidR="00A07B79" w:rsidRDefault="00A07B79" w:rsidP="00A07B79">
      <w:pPr>
        <w:spacing w:before="100" w:beforeAutospacing="1" w:after="100" w:afterAutospacing="1"/>
        <w:ind w:left="720"/>
        <w:contextualSpacing/>
        <w:textAlignment w:val="baseline"/>
      </w:pPr>
      <w:r>
        <w:rPr>
          <w:rFonts w:ascii="Verdana" w:hAnsi="Verdana"/>
          <w:color w:val="000000"/>
          <w:sz w:val="22"/>
          <w:szCs w:val="22"/>
          <w:lang w:eastAsia="ja-JP"/>
          <w14:ligatures w14:val="none"/>
        </w:rPr>
        <w:t> </w:t>
      </w:r>
    </w:p>
    <w:p w14:paraId="21B1A3D1" w14:textId="77777777" w:rsidR="00A07B79" w:rsidRDefault="00A07B79" w:rsidP="00A07B79">
      <w:pPr>
        <w:numPr>
          <w:ilvl w:val="0"/>
          <w:numId w:val="1"/>
        </w:numPr>
        <w:spacing w:before="100" w:beforeAutospacing="1" w:after="100" w:afterAutospacing="1"/>
        <w:contextualSpacing/>
        <w:textAlignment w:val="baseline"/>
        <w:rPr>
          <w:color w:val="000000"/>
        </w:rPr>
      </w:pPr>
      <w:r>
        <w:rPr>
          <w:rFonts w:ascii="Verdana" w:hAnsi="Verdana"/>
          <w:b/>
          <w:bCs/>
          <w:color w:val="000000"/>
          <w:sz w:val="22"/>
          <w:szCs w:val="22"/>
          <w:lang w:eastAsia="ja-JP"/>
          <w14:ligatures w14:val="none"/>
        </w:rPr>
        <w:t>Pre-infusion Checks</w:t>
      </w:r>
    </w:p>
    <w:p w14:paraId="36E6502F" w14:textId="77777777" w:rsidR="00A07B79" w:rsidRDefault="00A07B79" w:rsidP="00A07B79">
      <w:pPr>
        <w:spacing w:before="100" w:beforeAutospacing="1" w:after="100" w:afterAutospacing="1"/>
        <w:ind w:left="720"/>
        <w:contextualSpacing/>
        <w:textAlignment w:val="baseline"/>
      </w:pPr>
      <w:r>
        <w:rPr>
          <w:rFonts w:ascii="Verdana" w:hAnsi="Verdana"/>
          <w:i/>
          <w:iCs/>
          <w:color w:val="000000"/>
          <w:sz w:val="22"/>
          <w:szCs w:val="22"/>
          <w:lang w:eastAsia="ja-JP"/>
          <w14:ligatures w14:val="none"/>
        </w:rPr>
        <w:t>New confirmation requirement:</w:t>
      </w:r>
    </w:p>
    <w:p w14:paraId="3C9EEAF3" w14:textId="77777777" w:rsidR="00A07B79" w:rsidRDefault="00A07B79" w:rsidP="00A07B79">
      <w:pPr>
        <w:numPr>
          <w:ilvl w:val="0"/>
          <w:numId w:val="5"/>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Added: "Negative EBV and CMV test" to the pre-infusion checklist</w:t>
      </w:r>
    </w:p>
    <w:p w14:paraId="37A837E1" w14:textId="77777777" w:rsidR="00A07B79" w:rsidRDefault="00A07B79" w:rsidP="00A07B79">
      <w:pPr>
        <w:spacing w:before="100" w:beforeAutospacing="1" w:after="100" w:afterAutospacing="1"/>
        <w:ind w:left="720"/>
        <w:contextualSpacing/>
        <w:textAlignment w:val="baseline"/>
      </w:pPr>
      <w:r>
        <w:rPr>
          <w:rFonts w:ascii="Verdana" w:hAnsi="Verdana"/>
          <w:color w:val="000000"/>
          <w:sz w:val="22"/>
          <w:szCs w:val="22"/>
          <w:lang w:eastAsia="ja-JP"/>
          <w14:ligatures w14:val="none"/>
        </w:rPr>
        <w:t> </w:t>
      </w:r>
    </w:p>
    <w:p w14:paraId="4B749724" w14:textId="77777777" w:rsidR="00A07B79" w:rsidRDefault="00A07B79" w:rsidP="00A07B79">
      <w:pPr>
        <w:numPr>
          <w:ilvl w:val="0"/>
          <w:numId w:val="1"/>
        </w:numPr>
        <w:spacing w:before="100" w:beforeAutospacing="1" w:after="100" w:afterAutospacing="1"/>
        <w:contextualSpacing/>
        <w:textAlignment w:val="baseline"/>
        <w:rPr>
          <w:color w:val="000000"/>
        </w:rPr>
      </w:pPr>
      <w:r>
        <w:rPr>
          <w:rFonts w:ascii="Verdana" w:hAnsi="Verdana"/>
          <w:b/>
          <w:bCs/>
          <w:color w:val="000000"/>
          <w:sz w:val="22"/>
          <w:szCs w:val="22"/>
          <w:lang w:eastAsia="ja-JP"/>
          <w14:ligatures w14:val="none"/>
        </w:rPr>
        <w:t>Monitoring During Treatment</w:t>
      </w:r>
    </w:p>
    <w:p w14:paraId="52D72934" w14:textId="77777777" w:rsidR="00A07B79" w:rsidRDefault="00A07B79" w:rsidP="00A07B79">
      <w:pPr>
        <w:spacing w:before="100" w:beforeAutospacing="1" w:after="100" w:afterAutospacing="1"/>
        <w:ind w:left="720"/>
        <w:contextualSpacing/>
        <w:textAlignment w:val="baseline"/>
      </w:pPr>
      <w:r>
        <w:rPr>
          <w:rFonts w:ascii="Verdana" w:hAnsi="Verdana"/>
          <w:i/>
          <w:iCs/>
          <w:color w:val="000000"/>
          <w:sz w:val="22"/>
          <w:szCs w:val="22"/>
          <w:lang w:eastAsia="ja-JP"/>
          <w14:ligatures w14:val="none"/>
        </w:rPr>
        <w:t>New monitoring paragraph added:</w:t>
      </w:r>
    </w:p>
    <w:p w14:paraId="235483AA" w14:textId="77777777" w:rsidR="00A07B79" w:rsidRDefault="00A07B79" w:rsidP="00A07B79">
      <w:pPr>
        <w:numPr>
          <w:ilvl w:val="0"/>
          <w:numId w:val="6"/>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"Monitor patients for signs and symptoms of infection, including viral reactivation, during treatment. If viral reactivation is suspected, viral load should be assessed (e.g., PCR). If serious infection or viral reactivation develops, treat appropriately and discontinue teplizumab."</w:t>
      </w:r>
    </w:p>
    <w:p w14:paraId="7C4BC714" w14:textId="77777777" w:rsidR="00A07B79" w:rsidRDefault="00A07B79" w:rsidP="00A07B79">
      <w:pPr>
        <w:spacing w:before="100" w:beforeAutospacing="1" w:after="100" w:afterAutospacing="1"/>
        <w:ind w:left="720"/>
        <w:contextualSpacing/>
        <w:textAlignment w:val="baseline"/>
      </w:pPr>
      <w:r>
        <w:rPr>
          <w:rFonts w:ascii="Verdana" w:hAnsi="Verdana"/>
          <w:color w:val="000000"/>
          <w:sz w:val="22"/>
          <w:szCs w:val="22"/>
          <w:lang w:eastAsia="ja-JP"/>
          <w14:ligatures w14:val="none"/>
        </w:rPr>
        <w:t> </w:t>
      </w:r>
    </w:p>
    <w:p w14:paraId="02213E8F" w14:textId="77777777" w:rsidR="00A07B79" w:rsidRDefault="00A07B79" w:rsidP="00A07B79">
      <w:pPr>
        <w:numPr>
          <w:ilvl w:val="0"/>
          <w:numId w:val="1"/>
        </w:numPr>
        <w:spacing w:before="100" w:beforeAutospacing="1" w:after="100" w:afterAutospacing="1"/>
        <w:contextualSpacing/>
        <w:textAlignment w:val="baseline"/>
        <w:rPr>
          <w:color w:val="000000"/>
        </w:rPr>
      </w:pPr>
      <w:r>
        <w:rPr>
          <w:rFonts w:ascii="Verdana" w:hAnsi="Verdana"/>
          <w:b/>
          <w:bCs/>
          <w:color w:val="000000"/>
          <w:sz w:val="22"/>
          <w:szCs w:val="22"/>
          <w:lang w:eastAsia="ja-JP"/>
          <w14:ligatures w14:val="none"/>
        </w:rPr>
        <w:t>Escalation Protocol</w:t>
      </w:r>
    </w:p>
    <w:p w14:paraId="5069A3D4" w14:textId="77777777" w:rsidR="00A07B79" w:rsidRDefault="00A07B79" w:rsidP="00A07B79">
      <w:pPr>
        <w:spacing w:before="100" w:beforeAutospacing="1" w:after="100" w:afterAutospacing="1"/>
        <w:ind w:left="720"/>
        <w:contextualSpacing/>
        <w:textAlignment w:val="baseline"/>
      </w:pPr>
      <w:r>
        <w:rPr>
          <w:rFonts w:ascii="Verdana" w:hAnsi="Verdana"/>
          <w:i/>
          <w:iCs/>
          <w:color w:val="000000"/>
          <w:sz w:val="22"/>
          <w:szCs w:val="22"/>
          <w:lang w:eastAsia="ja-JP"/>
          <w14:ligatures w14:val="none"/>
        </w:rPr>
        <w:t>Enhanced viral infection guidance:</w:t>
      </w:r>
    </w:p>
    <w:p w14:paraId="7FBED87A" w14:textId="77777777" w:rsidR="00A07B79" w:rsidRDefault="00A07B79" w:rsidP="00A07B79">
      <w:pPr>
        <w:numPr>
          <w:ilvl w:val="0"/>
          <w:numId w:val="7"/>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v1: "EBV and CMV: If positive PCR on screening, do not treat with teplizumab. No need to monitor during infusions, if no viraemia prior to treatment, unless symptomatic"</w:t>
      </w:r>
    </w:p>
    <w:p w14:paraId="5783B6B5" w14:textId="77777777" w:rsidR="00A07B79" w:rsidRDefault="00A07B79" w:rsidP="00A07B79">
      <w:pPr>
        <w:numPr>
          <w:ilvl w:val="0"/>
          <w:numId w:val="7"/>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v3: "Positive EBV or CMV PCR on screening: Do not start teplizumab; discuss with virology/infectious diseases. Discontinue teplizumab if occur during treatment"</w:t>
      </w:r>
    </w:p>
    <w:p w14:paraId="7305174A" w14:textId="77777777" w:rsidR="00A07B79" w:rsidRDefault="00A07B79" w:rsidP="00A07B79">
      <w:pPr>
        <w:spacing w:before="100" w:beforeAutospacing="1" w:after="100" w:afterAutospacing="1"/>
        <w:ind w:left="720"/>
        <w:contextualSpacing/>
        <w:textAlignment w:val="baseline"/>
      </w:pPr>
      <w:r>
        <w:rPr>
          <w:rFonts w:ascii="Verdana" w:hAnsi="Verdana"/>
          <w:color w:val="000000"/>
          <w:sz w:val="22"/>
          <w:szCs w:val="22"/>
          <w:lang w:eastAsia="ja-JP"/>
          <w14:ligatures w14:val="none"/>
        </w:rPr>
        <w:t> </w:t>
      </w:r>
    </w:p>
    <w:p w14:paraId="255B7469" w14:textId="77777777" w:rsidR="00A07B79" w:rsidRDefault="00A07B79" w:rsidP="00A07B79">
      <w:pPr>
        <w:numPr>
          <w:ilvl w:val="0"/>
          <w:numId w:val="1"/>
        </w:numPr>
        <w:spacing w:before="100" w:beforeAutospacing="1" w:after="100" w:afterAutospacing="1"/>
        <w:contextualSpacing/>
        <w:rPr>
          <w:color w:val="000000"/>
        </w:rPr>
      </w:pPr>
      <w:r>
        <w:rPr>
          <w:rFonts w:ascii="Verdana" w:hAnsi="Verdana"/>
          <w:b/>
          <w:bCs/>
          <w:color w:val="000000"/>
          <w:sz w:val="22"/>
          <w:szCs w:val="22"/>
          <w:lang w:eastAsia="ja-JP"/>
          <w14:ligatures w14:val="none"/>
        </w:rPr>
        <w:t>Follow-Up After Treatment</w:t>
      </w:r>
    </w:p>
    <w:p w14:paraId="408DA3CE" w14:textId="77777777" w:rsidR="00A07B79" w:rsidRDefault="00A07B79" w:rsidP="00A07B79">
      <w:pPr>
        <w:spacing w:before="100" w:beforeAutospacing="1" w:after="100" w:afterAutospacing="1"/>
        <w:ind w:left="720"/>
        <w:contextualSpacing/>
      </w:pPr>
      <w:r>
        <w:rPr>
          <w:rFonts w:ascii="Verdana" w:hAnsi="Verdana"/>
          <w:i/>
          <w:iCs/>
          <w:color w:val="000000"/>
          <w:sz w:val="22"/>
          <w:szCs w:val="22"/>
          <w:lang w:eastAsia="ja-JP"/>
          <w14:ligatures w14:val="none"/>
        </w:rPr>
        <w:t>New monitoring requirement added:</w:t>
      </w:r>
    </w:p>
    <w:p w14:paraId="14D1F081" w14:textId="77777777" w:rsidR="00A07B79" w:rsidRDefault="00A07B79" w:rsidP="00A07B79">
      <w:pPr>
        <w:numPr>
          <w:ilvl w:val="0"/>
          <w:numId w:val="8"/>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 xml:space="preserve">"Monitor patients for signs and symptoms of infection, including viral reactivation, during and for at least 2 months after the last treatment </w:t>
      </w:r>
      <w:r>
        <w:rPr>
          <w:rFonts w:ascii="Verdana" w:hAnsi="Verdana"/>
          <w:color w:val="000000"/>
          <w:sz w:val="22"/>
          <w:szCs w:val="22"/>
          <w:lang w:eastAsia="ja-JP"/>
          <w14:ligatures w14:val="none"/>
        </w:rPr>
        <w:lastRenderedPageBreak/>
        <w:t xml:space="preserve">dose. If viral reactivation is suspected, viral load should be assessed (e.g., PCR). If serious infection or viral reactivation develops, treat appropriately. If these infections occur during treatment discontinue </w:t>
      </w:r>
      <w:proofErr w:type="spellStart"/>
      <w:r>
        <w:rPr>
          <w:rFonts w:ascii="Verdana" w:hAnsi="Verdana"/>
          <w:color w:val="000000"/>
          <w:sz w:val="22"/>
          <w:szCs w:val="22"/>
          <w:lang w:eastAsia="ja-JP"/>
          <w14:ligatures w14:val="none"/>
        </w:rPr>
        <w:t>Tzield</w:t>
      </w:r>
      <w:proofErr w:type="spellEnd"/>
      <w:r>
        <w:rPr>
          <w:rFonts w:ascii="Verdana" w:hAnsi="Verdana"/>
          <w:color w:val="000000"/>
          <w:sz w:val="22"/>
          <w:szCs w:val="22"/>
          <w:lang w:eastAsia="ja-JP"/>
          <w14:ligatures w14:val="none"/>
        </w:rPr>
        <w:t>"</w:t>
      </w:r>
    </w:p>
    <w:p w14:paraId="55043019" w14:textId="77777777" w:rsidR="00A07B79" w:rsidRDefault="00A07B79" w:rsidP="00A07B79">
      <w:pPr>
        <w:spacing w:before="100" w:beforeAutospacing="1" w:after="100" w:afterAutospacing="1"/>
        <w:ind w:left="720"/>
        <w:contextualSpacing/>
        <w:textAlignment w:val="baseline"/>
      </w:pPr>
      <w:r>
        <w:rPr>
          <w:rFonts w:ascii="Verdana" w:hAnsi="Verdana"/>
          <w:color w:val="000000"/>
          <w:sz w:val="22"/>
          <w:szCs w:val="22"/>
          <w:lang w:eastAsia="ja-JP"/>
          <w14:ligatures w14:val="none"/>
        </w:rPr>
        <w:t> </w:t>
      </w:r>
    </w:p>
    <w:p w14:paraId="1CB60181" w14:textId="77777777" w:rsidR="00A07B79" w:rsidRDefault="00A07B79" w:rsidP="00A07B79">
      <w:pPr>
        <w:numPr>
          <w:ilvl w:val="0"/>
          <w:numId w:val="1"/>
        </w:numPr>
        <w:spacing w:before="100" w:beforeAutospacing="1" w:after="100" w:afterAutospacing="1"/>
        <w:contextualSpacing/>
        <w:rPr>
          <w:color w:val="000000"/>
        </w:rPr>
      </w:pPr>
      <w:r>
        <w:rPr>
          <w:rFonts w:ascii="Verdana" w:hAnsi="Verdana"/>
          <w:b/>
          <w:bCs/>
          <w:color w:val="000000"/>
          <w:sz w:val="22"/>
          <w:szCs w:val="22"/>
          <w:lang w:eastAsia="ja-JP"/>
          <w14:ligatures w14:val="none"/>
        </w:rPr>
        <w:t>Prescribing Information Section</w:t>
      </w:r>
    </w:p>
    <w:p w14:paraId="0D648436" w14:textId="77777777" w:rsidR="00A07B79" w:rsidRDefault="00A07B79" w:rsidP="00A07B79">
      <w:pPr>
        <w:spacing w:before="100" w:beforeAutospacing="1" w:after="100" w:afterAutospacing="1"/>
        <w:ind w:left="720"/>
        <w:contextualSpacing/>
      </w:pPr>
      <w:r>
        <w:rPr>
          <w:rFonts w:ascii="Verdana" w:hAnsi="Verdana"/>
          <w:i/>
          <w:iCs/>
          <w:color w:val="000000"/>
          <w:sz w:val="22"/>
          <w:szCs w:val="22"/>
          <w:lang w:eastAsia="ja-JP"/>
          <w14:ligatures w14:val="none"/>
        </w:rPr>
        <w:t>Enhanced warnings:</w:t>
      </w:r>
    </w:p>
    <w:p w14:paraId="6430D6FE" w14:textId="77777777" w:rsidR="00A07B79" w:rsidRDefault="00A07B79" w:rsidP="00A07B79">
      <w:pPr>
        <w:numPr>
          <w:ilvl w:val="0"/>
          <w:numId w:val="9"/>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Added detail about EBV reactivation as a specific serious infection risk</w:t>
      </w:r>
    </w:p>
    <w:p w14:paraId="40B4C423" w14:textId="77777777" w:rsidR="00A07B79" w:rsidRDefault="00A07B79" w:rsidP="00A07B79">
      <w:pPr>
        <w:numPr>
          <w:ilvl w:val="0"/>
          <w:numId w:val="9"/>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Strengthened language requiring mandatory testing for active EBV and CMV infection prior to starting treatment</w:t>
      </w:r>
    </w:p>
    <w:p w14:paraId="71D541D6" w14:textId="77777777" w:rsidR="00A07B79" w:rsidRDefault="00A07B79" w:rsidP="00A07B79">
      <w:pPr>
        <w:numPr>
          <w:ilvl w:val="0"/>
          <w:numId w:val="9"/>
        </w:numPr>
        <w:spacing w:before="100" w:beforeAutospacing="1" w:after="100" w:afterAutospacing="1"/>
        <w:contextualSpacing/>
        <w:textAlignment w:val="baseline"/>
        <w:rPr>
          <w:color w:val="000000"/>
        </w:rPr>
      </w:pPr>
      <w:r>
        <w:rPr>
          <w:rFonts w:ascii="Verdana" w:hAnsi="Verdana"/>
          <w:color w:val="000000"/>
          <w:sz w:val="22"/>
          <w:szCs w:val="22"/>
          <w:lang w:eastAsia="ja-JP"/>
          <w14:ligatures w14:val="none"/>
        </w:rPr>
        <w:t>Added "Epstein-Barr virus reactivation (not known)" to the adverse reactions list</w:t>
      </w:r>
    </w:p>
    <w:p w14:paraId="1D4BA7C1" w14:textId="77777777" w:rsidR="00A07B79" w:rsidRDefault="00A07B79" w:rsidP="00A07B79">
      <w:pPr>
        <w:spacing w:before="100" w:beforeAutospacing="1" w:after="100" w:afterAutospacing="1"/>
        <w:ind w:left="720"/>
        <w:contextualSpacing/>
        <w:textAlignment w:val="baseline"/>
      </w:pPr>
      <w:r>
        <w:rPr>
          <w:rFonts w:ascii="Verdana" w:hAnsi="Verdana"/>
          <w:color w:val="000000"/>
          <w:sz w:val="22"/>
          <w:szCs w:val="22"/>
          <w:lang w:eastAsia="ja-JP"/>
          <w14:ligatures w14:val="none"/>
        </w:rPr>
        <w:t> </w:t>
      </w:r>
    </w:p>
    <w:p w14:paraId="129D50A9" w14:textId="77777777" w:rsidR="00CB656D" w:rsidRDefault="00CB656D"/>
    <w:sectPr w:rsidR="00CB65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A0D7F"/>
    <w:multiLevelType w:val="multilevel"/>
    <w:tmpl w:val="9A5E8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E2CDC95"/>
    <w:multiLevelType w:val="multilevel"/>
    <w:tmpl w:val="8E1A10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1441125"/>
    <w:multiLevelType w:val="multilevel"/>
    <w:tmpl w:val="5470D1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0B9E8B5"/>
    <w:multiLevelType w:val="multilevel"/>
    <w:tmpl w:val="4A10DF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DB2A18C"/>
    <w:multiLevelType w:val="multilevel"/>
    <w:tmpl w:val="9D1827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096F1DA"/>
    <w:multiLevelType w:val="multilevel"/>
    <w:tmpl w:val="B6C4EA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8C1FCE3"/>
    <w:multiLevelType w:val="multilevel"/>
    <w:tmpl w:val="475621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A01BBC7"/>
    <w:multiLevelType w:val="hybridMultilevel"/>
    <w:tmpl w:val="BCEE986A"/>
    <w:lvl w:ilvl="0" w:tplc="9984E800">
      <w:start w:val="1"/>
      <w:numFmt w:val="bullet"/>
      <w:lvlText w:val=""/>
      <w:lvlJc w:val="left"/>
      <w:pPr>
        <w:ind w:left="720" w:hanging="360"/>
      </w:pPr>
      <w:rPr>
        <w:rFonts w:ascii="Symbol" w:hAnsi="Symbol" w:hint="default"/>
      </w:rPr>
    </w:lvl>
    <w:lvl w:ilvl="1" w:tplc="0B262F3C">
      <w:start w:val="1"/>
      <w:numFmt w:val="bullet"/>
      <w:lvlText w:val="o"/>
      <w:lvlJc w:val="left"/>
      <w:pPr>
        <w:ind w:left="1440" w:hanging="360"/>
      </w:pPr>
      <w:rPr>
        <w:rFonts w:ascii="Symbol" w:hAnsi="Symbol" w:hint="default"/>
      </w:rPr>
    </w:lvl>
    <w:lvl w:ilvl="2" w:tplc="7FC40A4E">
      <w:start w:val="1"/>
      <w:numFmt w:val="bullet"/>
      <w:lvlText w:val=""/>
      <w:lvlJc w:val="left"/>
      <w:pPr>
        <w:ind w:left="2160" w:hanging="360"/>
      </w:pPr>
      <w:rPr>
        <w:rFonts w:ascii="Wingdings" w:hAnsi="Wingdings" w:hint="default"/>
      </w:rPr>
    </w:lvl>
    <w:lvl w:ilvl="3" w:tplc="CB6EAF1E">
      <w:start w:val="1"/>
      <w:numFmt w:val="bullet"/>
      <w:lvlText w:val=""/>
      <w:lvlJc w:val="left"/>
      <w:pPr>
        <w:ind w:left="2880" w:hanging="360"/>
      </w:pPr>
      <w:rPr>
        <w:rFonts w:ascii="Symbol" w:hAnsi="Symbol" w:hint="default"/>
      </w:rPr>
    </w:lvl>
    <w:lvl w:ilvl="4" w:tplc="A2AC4910">
      <w:start w:val="1"/>
      <w:numFmt w:val="bullet"/>
      <w:lvlText w:val="o"/>
      <w:lvlJc w:val="left"/>
      <w:pPr>
        <w:ind w:left="3600" w:hanging="360"/>
      </w:pPr>
      <w:rPr>
        <w:rFonts w:ascii="Courier New" w:hAnsi="Courier New" w:cs="Times New Roman" w:hint="default"/>
      </w:rPr>
    </w:lvl>
    <w:lvl w:ilvl="5" w:tplc="81A6275E">
      <w:start w:val="1"/>
      <w:numFmt w:val="bullet"/>
      <w:lvlText w:val=""/>
      <w:lvlJc w:val="left"/>
      <w:pPr>
        <w:ind w:left="4320" w:hanging="360"/>
      </w:pPr>
      <w:rPr>
        <w:rFonts w:ascii="Wingdings" w:hAnsi="Wingdings" w:hint="default"/>
      </w:rPr>
    </w:lvl>
    <w:lvl w:ilvl="6" w:tplc="C7687412">
      <w:start w:val="1"/>
      <w:numFmt w:val="bullet"/>
      <w:lvlText w:val=""/>
      <w:lvlJc w:val="left"/>
      <w:pPr>
        <w:ind w:left="5040" w:hanging="360"/>
      </w:pPr>
      <w:rPr>
        <w:rFonts w:ascii="Symbol" w:hAnsi="Symbol" w:hint="default"/>
      </w:rPr>
    </w:lvl>
    <w:lvl w:ilvl="7" w:tplc="7A4E9650">
      <w:start w:val="1"/>
      <w:numFmt w:val="bullet"/>
      <w:lvlText w:val="o"/>
      <w:lvlJc w:val="left"/>
      <w:pPr>
        <w:ind w:left="5760" w:hanging="360"/>
      </w:pPr>
      <w:rPr>
        <w:rFonts w:ascii="Courier New" w:hAnsi="Courier New" w:cs="Times New Roman" w:hint="default"/>
      </w:rPr>
    </w:lvl>
    <w:lvl w:ilvl="8" w:tplc="0400DF00">
      <w:start w:val="1"/>
      <w:numFmt w:val="bullet"/>
      <w:lvlText w:val=""/>
      <w:lvlJc w:val="left"/>
      <w:pPr>
        <w:ind w:left="6480" w:hanging="360"/>
      </w:pPr>
      <w:rPr>
        <w:rFonts w:ascii="Wingdings" w:hAnsi="Wingdings" w:hint="default"/>
      </w:rPr>
    </w:lvl>
  </w:abstractNum>
  <w:abstractNum w:abstractNumId="8" w15:restartNumberingAfterBreak="0">
    <w:nsid w:val="7E16DA1D"/>
    <w:multiLevelType w:val="hybridMultilevel"/>
    <w:tmpl w:val="BF7A2A24"/>
    <w:lvl w:ilvl="0" w:tplc="1BC6FEEA">
      <w:start w:val="1"/>
      <w:numFmt w:val="decimal"/>
      <w:lvlText w:val="%1."/>
      <w:lvlJc w:val="left"/>
      <w:pPr>
        <w:ind w:left="720" w:hanging="360"/>
      </w:pPr>
    </w:lvl>
    <w:lvl w:ilvl="1" w:tplc="0E7AB198">
      <w:start w:val="1"/>
      <w:numFmt w:val="lowerLetter"/>
      <w:lvlText w:val="%2."/>
      <w:lvlJc w:val="left"/>
      <w:pPr>
        <w:ind w:left="1440" w:hanging="360"/>
      </w:pPr>
    </w:lvl>
    <w:lvl w:ilvl="2" w:tplc="B99631CC">
      <w:start w:val="1"/>
      <w:numFmt w:val="lowerRoman"/>
      <w:lvlText w:val="%3."/>
      <w:lvlJc w:val="right"/>
      <w:pPr>
        <w:ind w:left="2160" w:hanging="180"/>
      </w:pPr>
    </w:lvl>
    <w:lvl w:ilvl="3" w:tplc="C6F098C8">
      <w:start w:val="1"/>
      <w:numFmt w:val="decimal"/>
      <w:lvlText w:val="%4."/>
      <w:lvlJc w:val="left"/>
      <w:pPr>
        <w:ind w:left="2880" w:hanging="360"/>
      </w:pPr>
    </w:lvl>
    <w:lvl w:ilvl="4" w:tplc="AFFC03C6">
      <w:start w:val="1"/>
      <w:numFmt w:val="lowerLetter"/>
      <w:lvlText w:val="%5."/>
      <w:lvlJc w:val="left"/>
      <w:pPr>
        <w:ind w:left="3600" w:hanging="360"/>
      </w:pPr>
    </w:lvl>
    <w:lvl w:ilvl="5" w:tplc="FD2AE0BE">
      <w:start w:val="1"/>
      <w:numFmt w:val="lowerRoman"/>
      <w:lvlText w:val="%6."/>
      <w:lvlJc w:val="right"/>
      <w:pPr>
        <w:ind w:left="4320" w:hanging="180"/>
      </w:pPr>
    </w:lvl>
    <w:lvl w:ilvl="6" w:tplc="83FA8298">
      <w:start w:val="1"/>
      <w:numFmt w:val="decimal"/>
      <w:lvlText w:val="%7."/>
      <w:lvlJc w:val="left"/>
      <w:pPr>
        <w:ind w:left="5040" w:hanging="360"/>
      </w:pPr>
    </w:lvl>
    <w:lvl w:ilvl="7" w:tplc="A9B8A910">
      <w:start w:val="1"/>
      <w:numFmt w:val="lowerLetter"/>
      <w:lvlText w:val="%8."/>
      <w:lvlJc w:val="left"/>
      <w:pPr>
        <w:ind w:left="5760" w:hanging="360"/>
      </w:pPr>
    </w:lvl>
    <w:lvl w:ilvl="8" w:tplc="5E6A7BEC">
      <w:start w:val="1"/>
      <w:numFmt w:val="lowerRoman"/>
      <w:lvlText w:val="%9."/>
      <w:lvlJc w:val="right"/>
      <w:pPr>
        <w:ind w:left="6480" w:hanging="180"/>
      </w:pPr>
    </w:lvl>
  </w:abstractNum>
  <w:num w:numId="1" w16cid:durableId="5077949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2060142">
    <w:abstractNumId w:val="2"/>
    <w:lvlOverride w:ilvl="0"/>
    <w:lvlOverride w:ilvl="1"/>
    <w:lvlOverride w:ilvl="2"/>
    <w:lvlOverride w:ilvl="3"/>
    <w:lvlOverride w:ilvl="4"/>
    <w:lvlOverride w:ilvl="5"/>
    <w:lvlOverride w:ilvl="6"/>
    <w:lvlOverride w:ilvl="7"/>
    <w:lvlOverride w:ilvl="8"/>
  </w:num>
  <w:num w:numId="3" w16cid:durableId="590626588">
    <w:abstractNumId w:val="7"/>
    <w:lvlOverride w:ilvl="0"/>
    <w:lvlOverride w:ilvl="1"/>
    <w:lvlOverride w:ilvl="2"/>
    <w:lvlOverride w:ilvl="3"/>
    <w:lvlOverride w:ilvl="4"/>
    <w:lvlOverride w:ilvl="5"/>
    <w:lvlOverride w:ilvl="6"/>
    <w:lvlOverride w:ilvl="7"/>
    <w:lvlOverride w:ilvl="8"/>
  </w:num>
  <w:num w:numId="4" w16cid:durableId="201333720">
    <w:abstractNumId w:val="3"/>
    <w:lvlOverride w:ilvl="0"/>
    <w:lvlOverride w:ilvl="1"/>
    <w:lvlOverride w:ilvl="2"/>
    <w:lvlOverride w:ilvl="3"/>
    <w:lvlOverride w:ilvl="4"/>
    <w:lvlOverride w:ilvl="5"/>
    <w:lvlOverride w:ilvl="6"/>
    <w:lvlOverride w:ilvl="7"/>
    <w:lvlOverride w:ilvl="8"/>
  </w:num>
  <w:num w:numId="5" w16cid:durableId="568149429">
    <w:abstractNumId w:val="5"/>
    <w:lvlOverride w:ilvl="0"/>
    <w:lvlOverride w:ilvl="1"/>
    <w:lvlOverride w:ilvl="2"/>
    <w:lvlOverride w:ilvl="3"/>
    <w:lvlOverride w:ilvl="4"/>
    <w:lvlOverride w:ilvl="5"/>
    <w:lvlOverride w:ilvl="6"/>
    <w:lvlOverride w:ilvl="7"/>
    <w:lvlOverride w:ilvl="8"/>
  </w:num>
  <w:num w:numId="6" w16cid:durableId="464542943">
    <w:abstractNumId w:val="4"/>
    <w:lvlOverride w:ilvl="0"/>
    <w:lvlOverride w:ilvl="1"/>
    <w:lvlOverride w:ilvl="2"/>
    <w:lvlOverride w:ilvl="3"/>
    <w:lvlOverride w:ilvl="4"/>
    <w:lvlOverride w:ilvl="5"/>
    <w:lvlOverride w:ilvl="6"/>
    <w:lvlOverride w:ilvl="7"/>
    <w:lvlOverride w:ilvl="8"/>
  </w:num>
  <w:num w:numId="7" w16cid:durableId="958495067">
    <w:abstractNumId w:val="1"/>
    <w:lvlOverride w:ilvl="0"/>
    <w:lvlOverride w:ilvl="1"/>
    <w:lvlOverride w:ilvl="2"/>
    <w:lvlOverride w:ilvl="3"/>
    <w:lvlOverride w:ilvl="4"/>
    <w:lvlOverride w:ilvl="5"/>
    <w:lvlOverride w:ilvl="6"/>
    <w:lvlOverride w:ilvl="7"/>
    <w:lvlOverride w:ilvl="8"/>
  </w:num>
  <w:num w:numId="8" w16cid:durableId="1493333575">
    <w:abstractNumId w:val="6"/>
    <w:lvlOverride w:ilvl="0"/>
    <w:lvlOverride w:ilvl="1"/>
    <w:lvlOverride w:ilvl="2"/>
    <w:lvlOverride w:ilvl="3"/>
    <w:lvlOverride w:ilvl="4"/>
    <w:lvlOverride w:ilvl="5"/>
    <w:lvlOverride w:ilvl="6"/>
    <w:lvlOverride w:ilvl="7"/>
    <w:lvlOverride w:ilvl="8"/>
  </w:num>
  <w:num w:numId="9" w16cid:durableId="62508668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B79"/>
    <w:rsid w:val="008D53BC"/>
    <w:rsid w:val="009957CF"/>
    <w:rsid w:val="00A07B79"/>
    <w:rsid w:val="00CB6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E8783"/>
  <w15:chartTrackingRefBased/>
  <w15:docId w15:val="{AE4DF45E-A78E-4FCE-A327-E5FC83D69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B79"/>
    <w:pPr>
      <w:spacing w:after="0" w:line="240" w:lineRule="auto"/>
    </w:pPr>
    <w:rPr>
      <w:rFonts w:ascii="Aptos" w:eastAsia="PMingLiU" w:hAnsi="Aptos" w:cs="PMingLiU"/>
      <w:kern w:val="0"/>
      <w:lang w:val="en-GB" w:eastAsia="en-US"/>
    </w:rPr>
  </w:style>
  <w:style w:type="paragraph" w:styleId="Heading1">
    <w:name w:val="heading 1"/>
    <w:basedOn w:val="Normal"/>
    <w:next w:val="Normal"/>
    <w:link w:val="Heading1Char"/>
    <w:uiPriority w:val="9"/>
    <w:qFormat/>
    <w:rsid w:val="00A07B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B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B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B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B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B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B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B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B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B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B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B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B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B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B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B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B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B79"/>
    <w:rPr>
      <w:rFonts w:eastAsiaTheme="majorEastAsia" w:cstheme="majorBidi"/>
      <w:color w:val="272727" w:themeColor="text1" w:themeTint="D8"/>
    </w:rPr>
  </w:style>
  <w:style w:type="paragraph" w:styleId="Title">
    <w:name w:val="Title"/>
    <w:basedOn w:val="Normal"/>
    <w:next w:val="Normal"/>
    <w:link w:val="TitleChar"/>
    <w:uiPriority w:val="10"/>
    <w:qFormat/>
    <w:rsid w:val="00A07B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B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B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B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B79"/>
    <w:pPr>
      <w:spacing w:before="160"/>
      <w:jc w:val="center"/>
    </w:pPr>
    <w:rPr>
      <w:i/>
      <w:iCs/>
      <w:color w:val="404040" w:themeColor="text1" w:themeTint="BF"/>
    </w:rPr>
  </w:style>
  <w:style w:type="character" w:customStyle="1" w:styleId="QuoteChar">
    <w:name w:val="Quote Char"/>
    <w:basedOn w:val="DefaultParagraphFont"/>
    <w:link w:val="Quote"/>
    <w:uiPriority w:val="29"/>
    <w:rsid w:val="00A07B79"/>
    <w:rPr>
      <w:i/>
      <w:iCs/>
      <w:color w:val="404040" w:themeColor="text1" w:themeTint="BF"/>
    </w:rPr>
  </w:style>
  <w:style w:type="paragraph" w:styleId="ListParagraph">
    <w:name w:val="List Paragraph"/>
    <w:basedOn w:val="Normal"/>
    <w:uiPriority w:val="34"/>
    <w:qFormat/>
    <w:rsid w:val="00A07B79"/>
    <w:pPr>
      <w:ind w:left="720"/>
      <w:contextualSpacing/>
    </w:pPr>
  </w:style>
  <w:style w:type="character" w:styleId="IntenseEmphasis">
    <w:name w:val="Intense Emphasis"/>
    <w:basedOn w:val="DefaultParagraphFont"/>
    <w:uiPriority w:val="21"/>
    <w:qFormat/>
    <w:rsid w:val="00A07B79"/>
    <w:rPr>
      <w:i/>
      <w:iCs/>
      <w:color w:val="0F4761" w:themeColor="accent1" w:themeShade="BF"/>
    </w:rPr>
  </w:style>
  <w:style w:type="paragraph" w:styleId="IntenseQuote">
    <w:name w:val="Intense Quote"/>
    <w:basedOn w:val="Normal"/>
    <w:next w:val="Normal"/>
    <w:link w:val="IntenseQuoteChar"/>
    <w:uiPriority w:val="30"/>
    <w:qFormat/>
    <w:rsid w:val="00A07B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B79"/>
    <w:rPr>
      <w:i/>
      <w:iCs/>
      <w:color w:val="0F4761" w:themeColor="accent1" w:themeShade="BF"/>
    </w:rPr>
  </w:style>
  <w:style w:type="character" w:styleId="IntenseReference">
    <w:name w:val="Intense Reference"/>
    <w:basedOn w:val="DefaultParagraphFont"/>
    <w:uiPriority w:val="32"/>
    <w:qFormat/>
    <w:rsid w:val="00A07B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400</Words>
  <Characters>2284</Characters>
  <Application>Microsoft Office Word</Application>
  <DocSecurity>0</DocSecurity>
  <Lines>19</Lines>
  <Paragraphs>5</Paragraphs>
  <ScaleCrop>false</ScaleCrop>
  <Company>Leeds Teaching Hospitals NHS Trust</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FOSTER, Jenny (LEEDS TEACHING HOSPITALS NHS TRUST)</dc:creator>
  <cp:keywords/>
  <dc:description/>
  <cp:lastModifiedBy>FOSTER, Jenny (LEEDS TEACHING HOSPITALS NHS TRUST)</cp:lastModifiedBy>
  <cp:revision>1</cp:revision>
  <dcterms:created xsi:type="dcterms:W3CDTF">2026-10-12T12:41:00Z</dcterms:created>
  <dcterms:modified xsi:type="dcterms:W3CDTF">2026-10-12T12:42:00Z</dcterms:modified>
</cp:coreProperties>
</file>