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6A865" w14:textId="22E3A168" w:rsidR="00D8483B" w:rsidRPr="00E42614" w:rsidRDefault="00210321" w:rsidP="00DB53A8">
      <w:pPr>
        <w:spacing w:after="120" w:line="240" w:lineRule="auto"/>
        <w:rPr>
          <w:rFonts w:ascii="Poppins" w:hAnsi="Poppins" w:cs="Poppins"/>
        </w:rPr>
      </w:pPr>
      <w:r w:rsidRPr="00E42614">
        <w:rPr>
          <w:rFonts w:ascii="Poppins" w:hAnsi="Poppins" w:cs="Poppins"/>
          <w:noProof/>
          <w14:ligatures w14:val="standardContextual"/>
        </w:rPr>
        <mc:AlternateContent>
          <mc:Choice Requires="wps">
            <w:drawing>
              <wp:anchor distT="0" distB="0" distL="114300" distR="114300" simplePos="0" relativeHeight="251606016" behindDoc="1" locked="0" layoutInCell="1" allowOverlap="1" wp14:anchorId="3ACD0CCA" wp14:editId="5367B97F">
                <wp:simplePos x="0" y="0"/>
                <wp:positionH relativeFrom="margin">
                  <wp:posOffset>-1209675</wp:posOffset>
                </wp:positionH>
                <wp:positionV relativeFrom="paragraph">
                  <wp:posOffset>-1087211</wp:posOffset>
                </wp:positionV>
                <wp:extent cx="7903845" cy="501650"/>
                <wp:effectExtent l="0" t="0" r="1905" b="0"/>
                <wp:wrapNone/>
                <wp:docPr id="1939541463" name="Rectangle 1"/>
                <wp:cNvGraphicFramePr/>
                <a:graphic xmlns:a="http://schemas.openxmlformats.org/drawingml/2006/main">
                  <a:graphicData uri="http://schemas.microsoft.com/office/word/2010/wordprocessingShape">
                    <wps:wsp>
                      <wps:cNvSpPr/>
                      <wps:spPr>
                        <a:xfrm>
                          <a:off x="0" y="0"/>
                          <a:ext cx="7903845" cy="501650"/>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B93F5F" w14:textId="77777777" w:rsidR="009C3E4C" w:rsidRPr="00E42614" w:rsidRDefault="009C3E4C" w:rsidP="009C3E4C">
                            <w:pPr>
                              <w:jc w:val="cente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D0CCA" id="Rectangle 1" o:spid="_x0000_s1026" style="position:absolute;margin-left:-95.25pt;margin-top:-85.6pt;width:622.35pt;height:39.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" fillcolor="#0023c8" stroked="f" strokeweight="2pt">
                <v:textbox inset="0,2mm,0,0">
                  <w:txbxContent>
                    <w:p w14:paraId="6CB93F5F" w14:textId="77777777" w:rsidR="009C3E4C" w:rsidRPr="00E42614" w:rsidRDefault="009C3E4C" w:rsidP="009C3E4C">
                      <w:pPr>
                        <w:jc w:val="center"/>
                        <w:rPr>
                          <w:rFonts w:ascii="Poppins" w:hAnsi="Poppins" w:cs="Poppins"/>
                        </w:rPr>
                      </w:pPr>
                    </w:p>
                  </w:txbxContent>
                </v:textbox>
                <w10:wrap anchorx="margin"/>
              </v:rect>
            </w:pict>
          </mc:Fallback>
        </mc:AlternateContent>
      </w:r>
      <w:r w:rsidRPr="00E42614">
        <w:rPr>
          <w:rFonts w:ascii="Poppins" w:hAnsi="Poppins" w:cs="Poppins"/>
          <w:noProof/>
          <w14:ligatures w14:val="standardContextual"/>
        </w:rPr>
        <mc:AlternateContent>
          <mc:Choice Requires="wps">
            <w:drawing>
              <wp:anchor distT="0" distB="0" distL="114300" distR="114300" simplePos="0" relativeHeight="251604991" behindDoc="1" locked="0" layoutInCell="1" allowOverlap="1" wp14:anchorId="5CABEE18" wp14:editId="054C81E3">
                <wp:simplePos x="0" y="0"/>
                <wp:positionH relativeFrom="page">
                  <wp:posOffset>0</wp:posOffset>
                </wp:positionH>
                <wp:positionV relativeFrom="paragraph">
                  <wp:posOffset>-590641</wp:posOffset>
                </wp:positionV>
                <wp:extent cx="7794625" cy="9172575"/>
                <wp:effectExtent l="0" t="0" r="0" b="9525"/>
                <wp:wrapNone/>
                <wp:docPr id="1938877725" name="Rectangle 1"/>
                <wp:cNvGraphicFramePr/>
                <a:graphic xmlns:a="http://schemas.openxmlformats.org/drawingml/2006/main">
                  <a:graphicData uri="http://schemas.microsoft.com/office/word/2010/wordprocessingShape">
                    <wps:wsp>
                      <wps:cNvSpPr/>
                      <wps:spPr>
                        <a:xfrm>
                          <a:off x="0" y="0"/>
                          <a:ext cx="7794625" cy="9172575"/>
                        </a:xfrm>
                        <a:prstGeom prst="rect">
                          <a:avLst/>
                        </a:prstGeom>
                        <a:solidFill>
                          <a:srgbClr val="C8CDDC">
                            <a:alpha val="40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A98E88" w14:textId="77777777" w:rsidR="008E2B76" w:rsidRPr="00E42614" w:rsidRDefault="008E2B76" w:rsidP="001B36E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BEE18" id="_x0000_s1027" style="position:absolute;margin-left:0;margin-top:-46.5pt;width:613.75pt;height:722.25pt;z-index:-2517114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" fillcolor="#c8cddc" stroked="f" strokeweight="2pt">
                <v:fill opacity="26214f"/>
                <v:textbox>
                  <w:txbxContent>
                    <w:p w14:paraId="03A98E88" w14:textId="77777777" w:rsidR="008E2B76" w:rsidRPr="00E42614" w:rsidRDefault="008E2B76" w:rsidP="001B36EE"/>
                  </w:txbxContent>
                </v:textbox>
                <w10:wrap anchorx="page"/>
              </v:rect>
            </w:pict>
          </mc:Fallback>
        </mc:AlternateContent>
      </w:r>
      <w:r w:rsidR="00FB4683" w:rsidRPr="00E42614">
        <w:rPr>
          <w:rFonts w:ascii="Poppins" w:hAnsi="Poppins" w:cs="Poppins"/>
          <w:noProof/>
        </w:rPr>
        <mc:AlternateContent>
          <mc:Choice Requires="wps">
            <w:drawing>
              <wp:anchor distT="45720" distB="45720" distL="114300" distR="114300" simplePos="0" relativeHeight="251717632" behindDoc="0" locked="0" layoutInCell="1" allowOverlap="1" wp14:anchorId="0651AF57" wp14:editId="59060C6F">
                <wp:simplePos x="0" y="0"/>
                <wp:positionH relativeFrom="margin">
                  <wp:posOffset>-723900</wp:posOffset>
                </wp:positionH>
                <wp:positionV relativeFrom="paragraph">
                  <wp:posOffset>7374255</wp:posOffset>
                </wp:positionV>
                <wp:extent cx="6934200" cy="352425"/>
                <wp:effectExtent l="0" t="0" r="0" b="0"/>
                <wp:wrapSquare wrapText="bothSides"/>
                <wp:docPr id="1148321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352425"/>
                        </a:xfrm>
                        <a:prstGeom prst="rect">
                          <a:avLst/>
                        </a:prstGeom>
                        <a:noFill/>
                        <a:ln w="9525">
                          <a:noFill/>
                          <a:miter lim="800000"/>
                          <a:headEnd/>
                          <a:tailEnd/>
                        </a:ln>
                      </wps:spPr>
                      <wps:txbx>
                        <w:txbxContent>
                          <w:p w14:paraId="303BC09A" w14:textId="38651469" w:rsidR="0042151B" w:rsidRPr="00E42614" w:rsidRDefault="0042151B" w:rsidP="0042151B">
                            <w:pPr>
                              <w:jc w:val="center"/>
                              <w:rPr>
                                <w:rFonts w:ascii="Poppins" w:hAnsi="Poppins" w:cs="Poppins"/>
                                <w:b/>
                                <w:bCs/>
                                <w:sz w:val="20"/>
                                <w:szCs w:val="20"/>
                              </w:rPr>
                            </w:pPr>
                            <w:r w:rsidRPr="00E42614">
                              <w:rPr>
                                <w:rFonts w:ascii="Poppins" w:hAnsi="Poppins" w:cs="Poppins"/>
                                <w:b/>
                                <w:bCs/>
                                <w:sz w:val="20"/>
                                <w:szCs w:val="20"/>
                              </w:rPr>
                              <w:t>Prescribing information for Tzield can be found at the end of this document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51AF57" id="_x0000_t202" coordsize="21600,21600" o:spt="202" path="m,l,21600r21600,l21600,xe">
                <v:stroke joinstyle="miter"/>
                <v:path gradientshapeok="t" o:connecttype="rect"/>
              </v:shapetype>
              <v:shape id="Text Box 2" o:spid="_x0000_s1028" type="#_x0000_t202" style="position:absolute;margin-left:-57pt;margin-top:580.65pt;width:546pt;height:27.75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" filled="f" stroked="f">
                <v:textbox>
                  <w:txbxContent>
                    <w:p w14:paraId="303BC09A" w14:textId="38651469" w:rsidR="0042151B" w:rsidRPr="00E42614" w:rsidRDefault="0042151B" w:rsidP="0042151B">
                      <w:pPr>
                        <w:jc w:val="center"/>
                        <w:rPr>
                          <w:rFonts w:ascii="Poppins" w:hAnsi="Poppins" w:cs="Poppins"/>
                          <w:b/>
                          <w:bCs/>
                          <w:sz w:val="20"/>
                          <w:szCs w:val="20"/>
                        </w:rPr>
                      </w:pPr>
                      <w:r w:rsidRPr="00E42614">
                        <w:rPr>
                          <w:rFonts w:ascii="Poppins" w:hAnsi="Poppins" w:cs="Poppins"/>
                          <w:b/>
                          <w:bCs/>
                          <w:sz w:val="20"/>
                          <w:szCs w:val="20"/>
                        </w:rPr>
                        <w:t>Prescribing information for Tzield can be found at the end of this document</w:t>
                      </w:r>
                    </w:p>
                  </w:txbxContent>
                </v:textbox>
                <w10:wrap type="square" anchorx="margin"/>
              </v:shape>
            </w:pict>
          </mc:Fallback>
        </mc:AlternateContent>
      </w:r>
      <w:r w:rsidR="00FB4683" w:rsidRPr="00E42614">
        <w:rPr>
          <w:rFonts w:ascii="Poppins" w:hAnsi="Poppins" w:cs="Poppins"/>
          <w:noProof/>
          <w:sz w:val="24"/>
          <w:szCs w:val="24"/>
        </w:rPr>
        <mc:AlternateContent>
          <mc:Choice Requires="wps">
            <w:drawing>
              <wp:anchor distT="45720" distB="45720" distL="114300" distR="114300" simplePos="0" relativeHeight="251700224" behindDoc="0" locked="0" layoutInCell="1" allowOverlap="1" wp14:anchorId="1CB51BE3" wp14:editId="3F160CAC">
                <wp:simplePos x="0" y="0"/>
                <wp:positionH relativeFrom="margin">
                  <wp:posOffset>-161925</wp:posOffset>
                </wp:positionH>
                <wp:positionV relativeFrom="paragraph">
                  <wp:posOffset>5561965</wp:posOffset>
                </wp:positionV>
                <wp:extent cx="5819775" cy="1581785"/>
                <wp:effectExtent l="0" t="0" r="28575" b="18415"/>
                <wp:wrapSquare wrapText="bothSides"/>
                <wp:docPr id="853876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581785"/>
                        </a:xfrm>
                        <a:prstGeom prst="rect">
                          <a:avLst/>
                        </a:prstGeom>
                        <a:solidFill>
                          <a:srgbClr val="FFFFFF"/>
                        </a:solidFill>
                        <a:ln w="9525">
                          <a:solidFill>
                            <a:srgbClr val="000000"/>
                          </a:solidFill>
                          <a:miter lim="800000"/>
                          <a:headEnd/>
                          <a:tailEnd/>
                        </a:ln>
                      </wps:spPr>
                      <wps:txbx>
                        <w:txbxContent>
                          <w:p w14:paraId="45102944" w14:textId="48EB409C" w:rsidR="00F95D88" w:rsidRPr="00E42614" w:rsidRDefault="00871B90" w:rsidP="008E2B76">
                            <w:pPr>
                              <w:spacing w:after="0" w:line="240" w:lineRule="auto"/>
                              <w:jc w:val="center"/>
                              <w:rPr>
                                <w:b/>
                                <w:bCs/>
                              </w:rPr>
                            </w:pPr>
                            <w:r w:rsidRPr="00E42614">
                              <w:rPr>
                                <w:rFonts w:ascii="Poppins" w:hAnsi="Poppins" w:cs="Poppins"/>
                                <w:b/>
                                <w:bCs/>
                                <w:sz w:val="20"/>
                              </w:rPr>
                              <w:t>This medicinal product is subject to additional monitoring. This will allow quick identification of new safety information. Adverse events should be reported. Reporting forms and information can be found at  </w:t>
                            </w:r>
                            <w:hyperlink r:id="rId11" w:history="1">
                              <w:r w:rsidRPr="00E42614">
                                <w:rPr>
                                  <w:rStyle w:val="Hyperlink"/>
                                  <w:rFonts w:ascii="Poppins" w:hAnsi="Poppins" w:cs="Poppins"/>
                                  <w:b/>
                                  <w:bCs/>
                                  <w:sz w:val="20"/>
                                </w:rPr>
                                <w:t>www.mhra.gov.uk/yellowcard</w:t>
                              </w:r>
                            </w:hyperlink>
                            <w:r w:rsidRPr="00E42614">
                              <w:rPr>
                                <w:rFonts w:ascii="Poppins" w:hAnsi="Poppins" w:cs="Poppins"/>
                                <w:b/>
                                <w:bCs/>
                                <w:sz w:val="20"/>
                              </w:rPr>
                              <w:br/>
                              <w:t xml:space="preserve">or search for MHRA Yellow Card in the Google Play or Apple App Store. </w:t>
                            </w:r>
                            <w:r w:rsidRPr="00E42614">
                              <w:rPr>
                                <w:rFonts w:ascii="Poppins" w:hAnsi="Poppins" w:cs="Poppins"/>
                                <w:b/>
                                <w:bCs/>
                                <w:sz w:val="20"/>
                              </w:rPr>
                              <w:br/>
                              <w:t xml:space="preserve">Adverse events should also be reported to the Sanofi drug safety department on </w:t>
                            </w:r>
                            <w:r w:rsidR="00285D69" w:rsidRPr="00E42614">
                              <w:rPr>
                                <w:rFonts w:ascii="Poppins" w:hAnsi="Poppins" w:cs="Poppins"/>
                                <w:b/>
                                <w:bCs/>
                                <w:sz w:val="20"/>
                              </w:rPr>
                              <w:br/>
                            </w:r>
                            <w:r w:rsidRPr="00E42614">
                              <w:rPr>
                                <w:rFonts w:ascii="Poppins" w:hAnsi="Poppins" w:cs="Poppins"/>
                                <w:b/>
                                <w:bCs/>
                                <w:sz w:val="20"/>
                              </w:rPr>
                              <w:t xml:space="preserve">Tel: 0800 0902 314. Alternatively, send via email to </w:t>
                            </w:r>
                            <w:hyperlink r:id="rId12" w:history="1">
                              <w:r w:rsidRPr="00E42614">
                                <w:rPr>
                                  <w:rStyle w:val="Hyperlink"/>
                                  <w:rFonts w:ascii="Poppins" w:hAnsi="Poppins" w:cs="Poppins"/>
                                  <w:b/>
                                  <w:bCs/>
                                  <w:sz w:val="20"/>
                                </w:rPr>
                                <w:t>UKdrugsafety@sanofi.com</w:t>
                              </w:r>
                            </w:hyperlink>
                            <w:r w:rsidRPr="00E42614">
                              <w:rPr>
                                <w:rFonts w:ascii="Poppins" w:hAnsi="Poppins" w:cs="Poppins"/>
                                <w:b/>
                                <w:bCs/>
                                <w:sz w:val="2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CB51BE3" id="_x0000_s1029" type="#_x0000_t202" style="position:absolute;margin-left:-12.75pt;margin-top:437.95pt;width:458.25pt;height:124.5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">
                <v:textbox>
                  <w:txbxContent>
                    <w:p w14:paraId="45102944" w14:textId="48EB409C" w:rsidR="00F95D88" w:rsidRPr="00E42614" w:rsidRDefault="00871B90" w:rsidP="008E2B76">
                      <w:pPr>
                        <w:spacing w:after="0" w:line="240" w:lineRule="auto"/>
                        <w:jc w:val="center"/>
                        <w:rPr>
                          <w:b/>
                          <w:bCs/>
                        </w:rPr>
                      </w:pPr>
                      <w:r w:rsidRPr="00E42614">
                        <w:rPr>
                          <w:rFonts w:ascii="Poppins" w:hAnsi="Poppins" w:cs="Poppins"/>
                          <w:b/>
                          <w:bCs/>
                          <w:sz w:val="20"/>
                        </w:rPr>
                        <w:t>This medicinal product is subject to additional monitoring. This will allow quick identification of new safety information. Adverse events should be reported. Reporting forms and information can be found at  </w:t>
                      </w:r>
                      <w:hyperlink r:id="rId13" w:history="1">
                        <w:r w:rsidRPr="00E42614">
                          <w:rPr>
                            <w:rStyle w:val="Hyperlink"/>
                            <w:rFonts w:ascii="Poppins" w:hAnsi="Poppins" w:cs="Poppins"/>
                            <w:b/>
                            <w:bCs/>
                            <w:sz w:val="20"/>
                          </w:rPr>
                          <w:t>www.mhra.gov.uk/yellowcard</w:t>
                        </w:r>
                      </w:hyperlink>
                      <w:r w:rsidRPr="00E42614">
                        <w:rPr>
                          <w:rFonts w:ascii="Poppins" w:hAnsi="Poppins" w:cs="Poppins"/>
                          <w:b/>
                          <w:bCs/>
                          <w:sz w:val="20"/>
                        </w:rPr>
                        <w:br/>
                        <w:t xml:space="preserve">or search for MHRA Yellow Card in the Google Play or Apple App Store. </w:t>
                      </w:r>
                      <w:r w:rsidRPr="00E42614">
                        <w:rPr>
                          <w:rFonts w:ascii="Poppins" w:hAnsi="Poppins" w:cs="Poppins"/>
                          <w:b/>
                          <w:bCs/>
                          <w:sz w:val="20"/>
                        </w:rPr>
                        <w:br/>
                        <w:t xml:space="preserve">Adverse events should also be reported to the Sanofi drug safety department on </w:t>
                      </w:r>
                      <w:r w:rsidR="00285D69" w:rsidRPr="00E42614">
                        <w:rPr>
                          <w:rFonts w:ascii="Poppins" w:hAnsi="Poppins" w:cs="Poppins"/>
                          <w:b/>
                          <w:bCs/>
                          <w:sz w:val="20"/>
                        </w:rPr>
                        <w:br/>
                      </w:r>
                      <w:r w:rsidRPr="00E42614">
                        <w:rPr>
                          <w:rFonts w:ascii="Poppins" w:hAnsi="Poppins" w:cs="Poppins"/>
                          <w:b/>
                          <w:bCs/>
                          <w:sz w:val="20"/>
                        </w:rPr>
                        <w:t xml:space="preserve">Tel: 0800 0902 314. Alternatively, send via email to </w:t>
                      </w:r>
                      <w:hyperlink r:id="rId14" w:history="1">
                        <w:r w:rsidRPr="00E42614">
                          <w:rPr>
                            <w:rStyle w:val="Hyperlink"/>
                            <w:rFonts w:ascii="Poppins" w:hAnsi="Poppins" w:cs="Poppins"/>
                            <w:b/>
                            <w:bCs/>
                            <w:sz w:val="20"/>
                          </w:rPr>
                          <w:t>UKdrugsafety@sanofi.com</w:t>
                        </w:r>
                      </w:hyperlink>
                      <w:r w:rsidRPr="00E42614">
                        <w:rPr>
                          <w:rFonts w:ascii="Poppins" w:hAnsi="Poppins" w:cs="Poppins"/>
                          <w:b/>
                          <w:bCs/>
                          <w:sz w:val="20"/>
                        </w:rPr>
                        <w:t xml:space="preserve"> </w:t>
                      </w:r>
                    </w:p>
                  </w:txbxContent>
                </v:textbox>
                <w10:wrap type="square" anchorx="margin"/>
              </v:shape>
            </w:pict>
          </mc:Fallback>
        </mc:AlternateContent>
      </w:r>
      <w:r w:rsidR="00FB4683" w:rsidRPr="00E42614">
        <w:rPr>
          <w:rFonts w:ascii="Poppins" w:hAnsi="Poppins" w:cs="Poppins"/>
          <w:noProof/>
        </w:rPr>
        <mc:AlternateContent>
          <mc:Choice Requires="wps">
            <w:drawing>
              <wp:anchor distT="45720" distB="45720" distL="114300" distR="114300" simplePos="0" relativeHeight="251715584" behindDoc="0" locked="0" layoutInCell="1" allowOverlap="1" wp14:anchorId="6CDEB6B2" wp14:editId="6E48E70E">
                <wp:simplePos x="0" y="0"/>
                <wp:positionH relativeFrom="margin">
                  <wp:posOffset>-266700</wp:posOffset>
                </wp:positionH>
                <wp:positionV relativeFrom="paragraph">
                  <wp:posOffset>3303905</wp:posOffset>
                </wp:positionV>
                <wp:extent cx="5924550" cy="2047875"/>
                <wp:effectExtent l="0" t="0" r="0" b="0"/>
                <wp:wrapSquare wrapText="bothSides"/>
                <wp:docPr id="1628334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047875"/>
                        </a:xfrm>
                        <a:prstGeom prst="rect">
                          <a:avLst/>
                        </a:prstGeom>
                        <a:noFill/>
                        <a:ln w="9525">
                          <a:noFill/>
                          <a:miter lim="800000"/>
                          <a:headEnd/>
                          <a:tailEnd/>
                        </a:ln>
                      </wps:spPr>
                      <wps:txbx>
                        <w:txbxContent>
                          <w:p w14:paraId="13CF6F23" w14:textId="66C66526" w:rsidR="00E4040E" w:rsidRPr="00E42614" w:rsidRDefault="00E4040E" w:rsidP="008E2B76">
                            <w:pPr>
                              <w:spacing w:before="120" w:line="240" w:lineRule="auto"/>
                              <w:rPr>
                                <w:rFonts w:ascii="Poppins" w:hAnsi="Poppins" w:cs="Poppins"/>
                                <w:b/>
                                <w:spacing w:val="-2"/>
                              </w:rPr>
                            </w:pPr>
                            <w:r w:rsidRPr="00E42614">
                              <w:rPr>
                                <w:rFonts w:ascii="Poppins" w:hAnsi="Poppins" w:cs="Poppins"/>
                                <w:spacing w:val="-2"/>
                              </w:rPr>
                              <w:t xml:space="preserve">This document is intended to support healthcare professionals and other relevant decision makers in completing a local </w:t>
                            </w:r>
                            <w:r w:rsidR="006761C0" w:rsidRPr="00E42614">
                              <w:rPr>
                                <w:rFonts w:ascii="Poppins" w:hAnsi="Poppins" w:cs="Poppins"/>
                                <w:spacing w:val="-2"/>
                              </w:rPr>
                              <w:t>guideline for use/</w:t>
                            </w:r>
                            <w:r w:rsidR="00686E75" w:rsidRPr="00E42614">
                              <w:rPr>
                                <w:rFonts w:ascii="Poppins" w:hAnsi="Poppins" w:cs="Poppins"/>
                                <w:spacing w:val="-2"/>
                              </w:rPr>
                              <w:t>standard operating procedure (</w:t>
                            </w:r>
                            <w:r w:rsidR="006761C0" w:rsidRPr="00E42614">
                              <w:rPr>
                                <w:rFonts w:ascii="Poppins" w:hAnsi="Poppins" w:cs="Poppins"/>
                                <w:spacing w:val="-2"/>
                              </w:rPr>
                              <w:t>SOP</w:t>
                            </w:r>
                            <w:r w:rsidR="00686E75" w:rsidRPr="00E42614">
                              <w:rPr>
                                <w:rFonts w:ascii="Poppins" w:hAnsi="Poppins" w:cs="Poppins"/>
                                <w:spacing w:val="-2"/>
                              </w:rPr>
                              <w:t>)</w:t>
                            </w:r>
                            <w:r w:rsidR="006761C0" w:rsidRPr="00E42614">
                              <w:rPr>
                                <w:rFonts w:ascii="Poppins" w:hAnsi="Poppins" w:cs="Poppins"/>
                                <w:spacing w:val="-2"/>
                              </w:rPr>
                              <w:t xml:space="preserve"> </w:t>
                            </w:r>
                            <w:r w:rsidRPr="00E42614">
                              <w:rPr>
                                <w:rFonts w:ascii="Poppins" w:hAnsi="Poppins" w:cs="Poppins"/>
                                <w:spacing w:val="-2"/>
                              </w:rPr>
                              <w:t xml:space="preserve">to deliver </w:t>
                            </w:r>
                            <w:r w:rsidR="00007BC7" w:rsidRPr="00E42614">
                              <w:rPr>
                                <w:rFonts w:ascii="Poppins" w:hAnsi="Poppins" w:cs="Poppins"/>
                                <w:spacing w:val="-2"/>
                              </w:rPr>
                              <w:t>teplizumab</w:t>
                            </w:r>
                            <w:r w:rsidR="003A1069" w:rsidRPr="00E42614">
                              <w:rPr>
                                <w:rFonts w:ascii="Poppins" w:hAnsi="Poppins" w:cs="Poppins"/>
                                <w:spacing w:val="-2"/>
                              </w:rPr>
                              <w:t xml:space="preserve"> </w:t>
                            </w:r>
                            <w:r w:rsidRPr="00E42614">
                              <w:rPr>
                                <w:rFonts w:ascii="Poppins" w:hAnsi="Poppins" w:cs="Poppins"/>
                                <w:spacing w:val="-2"/>
                              </w:rPr>
                              <w:t>in its indication to delay the onset of Stage 3 type 1 diabetes</w:t>
                            </w:r>
                            <w:r w:rsidR="00E07CD0" w:rsidRPr="00E42614">
                              <w:rPr>
                                <w:rFonts w:ascii="Poppins" w:hAnsi="Poppins" w:cs="Poppins"/>
                                <w:spacing w:val="-2"/>
                              </w:rPr>
                              <w:t xml:space="preserve"> (T1D)</w:t>
                            </w:r>
                            <w:r w:rsidRPr="00E42614">
                              <w:rPr>
                                <w:rFonts w:ascii="Poppins" w:hAnsi="Poppins" w:cs="Poppins"/>
                                <w:spacing w:val="-2"/>
                              </w:rPr>
                              <w:t xml:space="preserve"> in adult and paediatric patients 8 years of age and older with Stage 2 </w:t>
                            </w:r>
                            <w:r w:rsidR="00E07CD0" w:rsidRPr="00E42614">
                              <w:rPr>
                                <w:rFonts w:ascii="Poppins" w:hAnsi="Poppins" w:cs="Poppins"/>
                                <w:spacing w:val="-2"/>
                              </w:rPr>
                              <w:t>T1D.</w:t>
                            </w:r>
                            <w:r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00D84CA2" w:rsidRPr="00E42614">
                              <w:rPr>
                                <w:rFonts w:ascii="Poppins" w:hAnsi="Poppins" w:cs="Poppins"/>
                                <w:noProof/>
                                <w:spacing w:val="-2"/>
                                <w:vertAlign w:val="superscript"/>
                              </w:rPr>
                              <w:t>(TZIELD® SmPC)</w:t>
                            </w:r>
                            <w:r w:rsidRPr="00E42614">
                              <w:rPr>
                                <w:rFonts w:ascii="Poppins" w:hAnsi="Poppins" w:cs="Poppins"/>
                                <w:spacing w:val="-2"/>
                              </w:rPr>
                              <w:fldChar w:fldCharType="end"/>
                            </w:r>
                            <w:r w:rsidRPr="00E42614">
                              <w:rPr>
                                <w:rFonts w:ascii="Poppins" w:hAnsi="Poppins" w:cs="Poppins"/>
                                <w:b/>
                                <w:spacing w:val="-2"/>
                              </w:rPr>
                              <w:t xml:space="preserve"> </w:t>
                            </w:r>
                          </w:p>
                          <w:p w14:paraId="5EAC983A" w14:textId="35184834" w:rsidR="00AB756E" w:rsidRPr="00D33138" w:rsidRDefault="00E4040E" w:rsidP="008E2B76">
                            <w:pPr>
                              <w:spacing w:before="120" w:line="240" w:lineRule="auto"/>
                              <w:rPr>
                                <w:rFonts w:ascii="Poppins" w:hAnsi="Poppins" w:cs="Poppins"/>
                              </w:rPr>
                            </w:pPr>
                            <w:r w:rsidRPr="00E42614">
                              <w:rPr>
                                <w:rFonts w:ascii="Poppins" w:hAnsi="Poppins" w:cs="Poppins"/>
                              </w:rPr>
                              <w:t>This promotional material was developed and funded by Sanofi</w:t>
                            </w:r>
                            <w:r w:rsidR="00814E5C">
                              <w:rPr>
                                <w:rFonts w:ascii="Poppins" w:hAnsi="Poppins" w:cs="Poppins"/>
                              </w:rPr>
                              <w:t xml:space="preserve">, </w:t>
                            </w:r>
                            <w:r w:rsidR="00664D3D">
                              <w:rPr>
                                <w:rFonts w:ascii="Poppins" w:hAnsi="Poppins" w:cs="Poppins"/>
                              </w:rPr>
                              <w:t>with advisory input from</w:t>
                            </w:r>
                            <w:r w:rsidR="00C4350A">
                              <w:rPr>
                                <w:rFonts w:ascii="Poppins" w:hAnsi="Poppins" w:cs="Poppins"/>
                              </w:rPr>
                              <w:t xml:space="preserve"> </w:t>
                            </w:r>
                            <w:r w:rsidR="0064757B">
                              <w:rPr>
                                <w:rFonts w:ascii="Poppins" w:hAnsi="Poppins" w:cs="Poppins"/>
                              </w:rPr>
                              <w:t>healthcare</w:t>
                            </w:r>
                            <w:r w:rsidR="00551EF8">
                              <w:rPr>
                                <w:rFonts w:ascii="Poppins" w:hAnsi="Poppins" w:cs="Poppins"/>
                              </w:rPr>
                              <w:t xml:space="preserve"> expert</w:t>
                            </w:r>
                            <w:r w:rsidR="00664D3D">
                              <w:rPr>
                                <w:rFonts w:ascii="Poppins" w:hAnsi="Poppins" w:cs="Poppins"/>
                              </w:rPr>
                              <w:t>s</w:t>
                            </w:r>
                            <w:r w:rsidR="0064757B">
                              <w:rPr>
                                <w:rFonts w:ascii="Poppins" w:hAnsi="Poppins" w:cs="Poppins"/>
                              </w:rPr>
                              <w:t>. It</w:t>
                            </w:r>
                            <w:r w:rsidRPr="00E42614">
                              <w:rPr>
                                <w:rFonts w:ascii="Poppins" w:hAnsi="Poppins" w:cs="Poppins"/>
                              </w:rPr>
                              <w:t xml:space="preserve"> is intended for United Kingdom (UK) healthcare professionals and other relevant decision makers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EB6B2" id="_x0000_s1030" type="#_x0000_t202" style="position:absolute;margin-left:-21pt;margin-top:260.15pt;width:466.5pt;height:161.2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" filled="f" stroked="f">
                <v:textbox>
                  <w:txbxContent>
                    <w:p w14:paraId="13CF6F23" w14:textId="66C66526" w:rsidR="00E4040E" w:rsidRPr="00E42614" w:rsidRDefault="00E4040E" w:rsidP="008E2B76">
                      <w:pPr>
                        <w:spacing w:before="120" w:line="240" w:lineRule="auto"/>
                        <w:rPr>
                          <w:rFonts w:ascii="Poppins" w:hAnsi="Poppins" w:cs="Poppins"/>
                          <w:b/>
                          <w:spacing w:val="-2"/>
                        </w:rPr>
                      </w:pPr>
                      <w:r w:rsidRPr="00E42614">
                        <w:rPr>
                          <w:rFonts w:ascii="Poppins" w:hAnsi="Poppins" w:cs="Poppins"/>
                          <w:spacing w:val="-2"/>
                        </w:rPr>
                        <w:t xml:space="preserve">This document is intended to support healthcare professionals and other relevant decision makers in completing a local </w:t>
                      </w:r>
                      <w:r w:rsidR="006761C0" w:rsidRPr="00E42614">
                        <w:rPr>
                          <w:rFonts w:ascii="Poppins" w:hAnsi="Poppins" w:cs="Poppins"/>
                          <w:spacing w:val="-2"/>
                        </w:rPr>
                        <w:t>guideline for use/</w:t>
                      </w:r>
                      <w:r w:rsidR="00686E75" w:rsidRPr="00E42614">
                        <w:rPr>
                          <w:rFonts w:ascii="Poppins" w:hAnsi="Poppins" w:cs="Poppins"/>
                          <w:spacing w:val="-2"/>
                        </w:rPr>
                        <w:t>standard operating procedure (</w:t>
                      </w:r>
                      <w:r w:rsidR="006761C0" w:rsidRPr="00E42614">
                        <w:rPr>
                          <w:rFonts w:ascii="Poppins" w:hAnsi="Poppins" w:cs="Poppins"/>
                          <w:spacing w:val="-2"/>
                        </w:rPr>
                        <w:t>SOP</w:t>
                      </w:r>
                      <w:r w:rsidR="00686E75" w:rsidRPr="00E42614">
                        <w:rPr>
                          <w:rFonts w:ascii="Poppins" w:hAnsi="Poppins" w:cs="Poppins"/>
                          <w:spacing w:val="-2"/>
                        </w:rPr>
                        <w:t>)</w:t>
                      </w:r>
                      <w:r w:rsidR="006761C0" w:rsidRPr="00E42614">
                        <w:rPr>
                          <w:rFonts w:ascii="Poppins" w:hAnsi="Poppins" w:cs="Poppins"/>
                          <w:spacing w:val="-2"/>
                        </w:rPr>
                        <w:t xml:space="preserve"> </w:t>
                      </w:r>
                      <w:r w:rsidRPr="00E42614">
                        <w:rPr>
                          <w:rFonts w:ascii="Poppins" w:hAnsi="Poppins" w:cs="Poppins"/>
                          <w:spacing w:val="-2"/>
                        </w:rPr>
                        <w:t xml:space="preserve">to deliver </w:t>
                      </w:r>
                      <w:r w:rsidR="00007BC7" w:rsidRPr="00E42614">
                        <w:rPr>
                          <w:rFonts w:ascii="Poppins" w:hAnsi="Poppins" w:cs="Poppins"/>
                          <w:spacing w:val="-2"/>
                        </w:rPr>
                        <w:t>teplizumab</w:t>
                      </w:r>
                      <w:r w:rsidR="003A1069" w:rsidRPr="00E42614">
                        <w:rPr>
                          <w:rFonts w:ascii="Poppins" w:hAnsi="Poppins" w:cs="Poppins"/>
                          <w:spacing w:val="-2"/>
                        </w:rPr>
                        <w:t xml:space="preserve"> </w:t>
                      </w:r>
                      <w:r w:rsidRPr="00E42614">
                        <w:rPr>
                          <w:rFonts w:ascii="Poppins" w:hAnsi="Poppins" w:cs="Poppins"/>
                          <w:spacing w:val="-2"/>
                        </w:rPr>
                        <w:t>in its indication to delay the onset of Stage 3 type 1 diabetes</w:t>
                      </w:r>
                      <w:r w:rsidR="00E07CD0" w:rsidRPr="00E42614">
                        <w:rPr>
                          <w:rFonts w:ascii="Poppins" w:hAnsi="Poppins" w:cs="Poppins"/>
                          <w:spacing w:val="-2"/>
                        </w:rPr>
                        <w:t xml:space="preserve"> (T1D)</w:t>
                      </w:r>
                      <w:r w:rsidRPr="00E42614">
                        <w:rPr>
                          <w:rFonts w:ascii="Poppins" w:hAnsi="Poppins" w:cs="Poppins"/>
                          <w:spacing w:val="-2"/>
                        </w:rPr>
                        <w:t xml:space="preserve"> in adult and paediatric patients 8 years of age and older with Stage 2 </w:t>
                      </w:r>
                      <w:r w:rsidR="00E07CD0" w:rsidRPr="00E42614">
                        <w:rPr>
                          <w:rFonts w:ascii="Poppins" w:hAnsi="Poppins" w:cs="Poppins"/>
                          <w:spacing w:val="-2"/>
                        </w:rPr>
                        <w:t>T1D.</w:t>
                      </w:r>
                      <w:r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00D84CA2" w:rsidRPr="00E42614">
                        <w:rPr>
                          <w:rFonts w:ascii="Poppins" w:hAnsi="Poppins" w:cs="Poppins"/>
                          <w:noProof/>
                          <w:spacing w:val="-2"/>
                          <w:vertAlign w:val="superscript"/>
                        </w:rPr>
                        <w:t>(TZIELD® SmPC)</w:t>
                      </w:r>
                      <w:r w:rsidRPr="00E42614">
                        <w:rPr>
                          <w:rFonts w:ascii="Poppins" w:hAnsi="Poppins" w:cs="Poppins"/>
                          <w:spacing w:val="-2"/>
                        </w:rPr>
                        <w:fldChar w:fldCharType="end"/>
                      </w:r>
                      <w:r w:rsidRPr="00E42614">
                        <w:rPr>
                          <w:rFonts w:ascii="Poppins" w:hAnsi="Poppins" w:cs="Poppins"/>
                          <w:b/>
                          <w:spacing w:val="-2"/>
                        </w:rPr>
                        <w:t xml:space="preserve"> </w:t>
                      </w:r>
                    </w:p>
                    <w:p w14:paraId="5EAC983A" w14:textId="35184834" w:rsidR="00AB756E" w:rsidRPr="00D33138" w:rsidRDefault="00E4040E" w:rsidP="008E2B76">
                      <w:pPr>
                        <w:spacing w:before="120" w:line="240" w:lineRule="auto"/>
                        <w:rPr>
                          <w:rFonts w:ascii="Poppins" w:hAnsi="Poppins" w:cs="Poppins"/>
                        </w:rPr>
                      </w:pPr>
                      <w:r w:rsidRPr="00E42614">
                        <w:rPr>
                          <w:rFonts w:ascii="Poppins" w:hAnsi="Poppins" w:cs="Poppins"/>
                        </w:rPr>
                        <w:t>This promotional material was developed and funded by Sanofi</w:t>
                      </w:r>
                      <w:r w:rsidR="00814E5C">
                        <w:rPr>
                          <w:rFonts w:ascii="Poppins" w:hAnsi="Poppins" w:cs="Poppins"/>
                        </w:rPr>
                        <w:t xml:space="preserve">, </w:t>
                      </w:r>
                      <w:r w:rsidR="00664D3D">
                        <w:rPr>
                          <w:rFonts w:ascii="Poppins" w:hAnsi="Poppins" w:cs="Poppins"/>
                        </w:rPr>
                        <w:t>with advisory input from</w:t>
                      </w:r>
                      <w:r w:rsidR="00C4350A">
                        <w:rPr>
                          <w:rFonts w:ascii="Poppins" w:hAnsi="Poppins" w:cs="Poppins"/>
                        </w:rPr>
                        <w:t xml:space="preserve"> </w:t>
                      </w:r>
                      <w:r w:rsidR="0064757B">
                        <w:rPr>
                          <w:rFonts w:ascii="Poppins" w:hAnsi="Poppins" w:cs="Poppins"/>
                        </w:rPr>
                        <w:t>healthcare</w:t>
                      </w:r>
                      <w:r w:rsidR="00551EF8">
                        <w:rPr>
                          <w:rFonts w:ascii="Poppins" w:hAnsi="Poppins" w:cs="Poppins"/>
                        </w:rPr>
                        <w:t xml:space="preserve"> expert</w:t>
                      </w:r>
                      <w:r w:rsidR="00664D3D">
                        <w:rPr>
                          <w:rFonts w:ascii="Poppins" w:hAnsi="Poppins" w:cs="Poppins"/>
                        </w:rPr>
                        <w:t>s</w:t>
                      </w:r>
                      <w:r w:rsidR="0064757B">
                        <w:rPr>
                          <w:rFonts w:ascii="Poppins" w:hAnsi="Poppins" w:cs="Poppins"/>
                        </w:rPr>
                        <w:t>. It</w:t>
                      </w:r>
                      <w:r w:rsidRPr="00E42614">
                        <w:rPr>
                          <w:rFonts w:ascii="Poppins" w:hAnsi="Poppins" w:cs="Poppins"/>
                        </w:rPr>
                        <w:t xml:space="preserve"> is intended for United Kingdom (UK) healthcare professionals and other relevant decision makers only.</w:t>
                      </w:r>
                    </w:p>
                  </w:txbxContent>
                </v:textbox>
                <w10:wrap type="square" anchorx="margin"/>
              </v:shape>
            </w:pict>
          </mc:Fallback>
        </mc:AlternateContent>
      </w:r>
      <w:r w:rsidR="00F01252" w:rsidRPr="00E42614">
        <w:rPr>
          <w:rFonts w:ascii="Poppins" w:hAnsi="Poppins" w:cs="Poppins"/>
          <w:noProof/>
          <w14:ligatures w14:val="standardContextual"/>
        </w:rPr>
        <w:drawing>
          <wp:anchor distT="0" distB="0" distL="114300" distR="114300" simplePos="0" relativeHeight="251645952" behindDoc="0" locked="0" layoutInCell="1" allowOverlap="1" wp14:anchorId="7C1B7619" wp14:editId="54AACB7A">
            <wp:simplePos x="0" y="0"/>
            <wp:positionH relativeFrom="column">
              <wp:posOffset>-159735</wp:posOffset>
            </wp:positionH>
            <wp:positionV relativeFrom="paragraph">
              <wp:posOffset>3175</wp:posOffset>
            </wp:positionV>
            <wp:extent cx="1972310" cy="1084580"/>
            <wp:effectExtent l="0" t="0" r="8890" b="0"/>
            <wp:wrapTopAndBottom/>
            <wp:docPr id="2040246385" name="Picture 2"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46385" name="Picture 2" descr="A blue and orange logo&#10;&#10;AI-generated content may be incorrect."/>
                    <pic:cNvPicPr/>
                  </pic:nvPicPr>
                  <pic:blipFill rotWithShape="1">
                    <a:blip r:embed="rId15"/>
                    <a:srcRect l="-1308" t="-3473" r="-1435" b="-16169"/>
                    <a:stretch>
                      <a:fillRect/>
                    </a:stretch>
                  </pic:blipFill>
                  <pic:spPr bwMode="auto">
                    <a:xfrm>
                      <a:off x="0" y="0"/>
                      <a:ext cx="1972310" cy="1084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44D4" w:rsidRPr="00E42614">
        <w:rPr>
          <w:rFonts w:ascii="Poppins" w:hAnsi="Poppins" w:cs="Poppins"/>
          <w:noProof/>
        </w:rPr>
        <mc:AlternateContent>
          <mc:Choice Requires="wps">
            <w:drawing>
              <wp:anchor distT="45720" distB="45720" distL="114300" distR="114300" simplePos="0" relativeHeight="251670528" behindDoc="0" locked="0" layoutInCell="1" allowOverlap="1" wp14:anchorId="656E171F" wp14:editId="11B3DFA9">
                <wp:simplePos x="0" y="0"/>
                <wp:positionH relativeFrom="margin">
                  <wp:posOffset>-267335</wp:posOffset>
                </wp:positionH>
                <wp:positionV relativeFrom="paragraph">
                  <wp:posOffset>1231054</wp:posOffset>
                </wp:positionV>
                <wp:extent cx="6203315" cy="192151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315" cy="1921510"/>
                        </a:xfrm>
                        <a:prstGeom prst="rect">
                          <a:avLst/>
                        </a:prstGeom>
                        <a:noFill/>
                        <a:ln w="9525">
                          <a:noFill/>
                          <a:miter lim="800000"/>
                          <a:headEnd/>
                          <a:tailEnd/>
                        </a:ln>
                      </wps:spPr>
                      <wps:txbx>
                        <w:txbxContent>
                          <w:p w14:paraId="46309E08" w14:textId="765EEDF6" w:rsidR="000E6D81" w:rsidRPr="004144D4" w:rsidRDefault="00F1434B" w:rsidP="00D33138">
                            <w:pPr>
                              <w:spacing w:after="0" w:line="240" w:lineRule="auto"/>
                              <w:rPr>
                                <w:rFonts w:ascii="Poppins" w:eastAsia="Calibri" w:hAnsi="Poppins" w:cs="Poppins"/>
                                <w:b/>
                                <w:color w:val="0023C8"/>
                                <w:sz w:val="64"/>
                                <w:szCs w:val="64"/>
                              </w:rPr>
                            </w:pPr>
                            <w:r w:rsidRPr="004144D4">
                              <w:rPr>
                                <w:rFonts w:ascii="Poppins" w:eastAsia="Calibri" w:hAnsi="Poppins" w:cs="Poppins"/>
                                <w:b/>
                                <w:color w:val="0023C8"/>
                                <w:sz w:val="64"/>
                                <w:szCs w:val="64"/>
                              </w:rPr>
                              <w:t>Guideline for use/S</w:t>
                            </w:r>
                            <w:r w:rsidR="003D5376" w:rsidRPr="004144D4">
                              <w:rPr>
                                <w:rFonts w:ascii="Poppins" w:eastAsia="Calibri" w:hAnsi="Poppins" w:cs="Poppins"/>
                                <w:b/>
                                <w:color w:val="0023C8"/>
                                <w:sz w:val="64"/>
                                <w:szCs w:val="64"/>
                              </w:rPr>
                              <w:t xml:space="preserve">tandard </w:t>
                            </w:r>
                            <w:r w:rsidRPr="004144D4">
                              <w:rPr>
                                <w:rFonts w:ascii="Poppins" w:eastAsia="Calibri" w:hAnsi="Poppins" w:cs="Poppins"/>
                                <w:b/>
                                <w:color w:val="0023C8"/>
                                <w:sz w:val="64"/>
                                <w:szCs w:val="64"/>
                              </w:rPr>
                              <w:t>O</w:t>
                            </w:r>
                            <w:r w:rsidR="003D5376" w:rsidRPr="004144D4">
                              <w:rPr>
                                <w:rFonts w:ascii="Poppins" w:eastAsia="Calibri" w:hAnsi="Poppins" w:cs="Poppins"/>
                                <w:b/>
                                <w:color w:val="0023C8"/>
                                <w:sz w:val="64"/>
                                <w:szCs w:val="64"/>
                              </w:rPr>
                              <w:t>perating Procedure (SOP)</w:t>
                            </w:r>
                            <w:r w:rsidRPr="004144D4">
                              <w:rPr>
                                <w:rFonts w:ascii="Poppins" w:eastAsia="Calibri" w:hAnsi="Poppins" w:cs="Poppins"/>
                                <w:b/>
                                <w:color w:val="0023C8"/>
                                <w:sz w:val="64"/>
                                <w:szCs w:val="64"/>
                              </w:rPr>
                              <w:t xml:space="preserve"> </w:t>
                            </w:r>
                            <w:r w:rsidR="006761C0" w:rsidRPr="004144D4">
                              <w:rPr>
                                <w:rFonts w:ascii="Poppins" w:eastAsia="Calibri" w:hAnsi="Poppins" w:cs="Poppins"/>
                                <w:b/>
                                <w:color w:val="0023C8"/>
                                <w:sz w:val="64"/>
                                <w:szCs w:val="64"/>
                              </w:rPr>
                              <w:t xml:space="preserve">template for </w:t>
                            </w:r>
                            <w:r w:rsidR="003D5376" w:rsidRPr="004144D4">
                              <w:rPr>
                                <w:rFonts w:ascii="Poppins" w:eastAsia="Calibri" w:hAnsi="Poppins" w:cs="Poppins"/>
                                <w:b/>
                                <w:color w:val="0023C8"/>
                                <w:sz w:val="64"/>
                                <w:szCs w:val="64"/>
                              </w:rPr>
                              <w:t>teplizumab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6E171F" id="_x0000_s1031" type="#_x0000_t202" style="position:absolute;margin-left:-21.05pt;margin-top:96.95pt;width:488.45pt;height:151.3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" filled="f" stroked="f">
                <v:textbox>
                  <w:txbxContent>
                    <w:p w14:paraId="46309E08" w14:textId="765EEDF6" w:rsidR="000E6D81" w:rsidRPr="004144D4" w:rsidRDefault="00F1434B" w:rsidP="00D33138">
                      <w:pPr>
                        <w:spacing w:after="0" w:line="240" w:lineRule="auto"/>
                        <w:rPr>
                          <w:rFonts w:ascii="Poppins" w:eastAsia="Calibri" w:hAnsi="Poppins" w:cs="Poppins"/>
                          <w:b/>
                          <w:color w:val="0023C8"/>
                          <w:sz w:val="64"/>
                          <w:szCs w:val="64"/>
                        </w:rPr>
                      </w:pPr>
                      <w:r w:rsidRPr="004144D4">
                        <w:rPr>
                          <w:rFonts w:ascii="Poppins" w:eastAsia="Calibri" w:hAnsi="Poppins" w:cs="Poppins"/>
                          <w:b/>
                          <w:color w:val="0023C8"/>
                          <w:sz w:val="64"/>
                          <w:szCs w:val="64"/>
                        </w:rPr>
                        <w:t>Guideline for use/S</w:t>
                      </w:r>
                      <w:r w:rsidR="003D5376" w:rsidRPr="004144D4">
                        <w:rPr>
                          <w:rFonts w:ascii="Poppins" w:eastAsia="Calibri" w:hAnsi="Poppins" w:cs="Poppins"/>
                          <w:b/>
                          <w:color w:val="0023C8"/>
                          <w:sz w:val="64"/>
                          <w:szCs w:val="64"/>
                        </w:rPr>
                        <w:t xml:space="preserve">tandard </w:t>
                      </w:r>
                      <w:r w:rsidRPr="004144D4">
                        <w:rPr>
                          <w:rFonts w:ascii="Poppins" w:eastAsia="Calibri" w:hAnsi="Poppins" w:cs="Poppins"/>
                          <w:b/>
                          <w:color w:val="0023C8"/>
                          <w:sz w:val="64"/>
                          <w:szCs w:val="64"/>
                        </w:rPr>
                        <w:t>O</w:t>
                      </w:r>
                      <w:r w:rsidR="003D5376" w:rsidRPr="004144D4">
                        <w:rPr>
                          <w:rFonts w:ascii="Poppins" w:eastAsia="Calibri" w:hAnsi="Poppins" w:cs="Poppins"/>
                          <w:b/>
                          <w:color w:val="0023C8"/>
                          <w:sz w:val="64"/>
                          <w:szCs w:val="64"/>
                        </w:rPr>
                        <w:t>perating Procedure (SOP)</w:t>
                      </w:r>
                      <w:r w:rsidRPr="004144D4">
                        <w:rPr>
                          <w:rFonts w:ascii="Poppins" w:eastAsia="Calibri" w:hAnsi="Poppins" w:cs="Poppins"/>
                          <w:b/>
                          <w:color w:val="0023C8"/>
                          <w:sz w:val="64"/>
                          <w:szCs w:val="64"/>
                        </w:rPr>
                        <w:t xml:space="preserve"> </w:t>
                      </w:r>
                      <w:r w:rsidR="006761C0" w:rsidRPr="004144D4">
                        <w:rPr>
                          <w:rFonts w:ascii="Poppins" w:eastAsia="Calibri" w:hAnsi="Poppins" w:cs="Poppins"/>
                          <w:b/>
                          <w:color w:val="0023C8"/>
                          <w:sz w:val="64"/>
                          <w:szCs w:val="64"/>
                        </w:rPr>
                        <w:t xml:space="preserve">template for </w:t>
                      </w:r>
                      <w:r w:rsidR="003D5376" w:rsidRPr="004144D4">
                        <w:rPr>
                          <w:rFonts w:ascii="Poppins" w:eastAsia="Calibri" w:hAnsi="Poppins" w:cs="Poppins"/>
                          <w:b/>
                          <w:color w:val="0023C8"/>
                          <w:sz w:val="64"/>
                          <w:szCs w:val="64"/>
                        </w:rPr>
                        <w:t>teplizumab</w:t>
                      </w:r>
                    </w:p>
                  </w:txbxContent>
                </v:textbox>
                <w10:wrap type="square" anchorx="margin"/>
              </v:shape>
            </w:pict>
          </mc:Fallback>
        </mc:AlternateContent>
      </w:r>
    </w:p>
    <w:p w14:paraId="546E4E1D" w14:textId="4D202FF9" w:rsidR="009C3E4C" w:rsidRPr="00E42614" w:rsidRDefault="008E2B76" w:rsidP="004111A4">
      <w:pPr>
        <w:tabs>
          <w:tab w:val="left" w:pos="2104"/>
        </w:tabs>
        <w:spacing w:after="120" w:line="240" w:lineRule="auto"/>
        <w:rPr>
          <w:rFonts w:ascii="Poppins" w:hAnsi="Poppins" w:cs="Poppins"/>
        </w:rPr>
      </w:pPr>
      <w:r w:rsidRPr="00E42614">
        <w:rPr>
          <w:rFonts w:ascii="Poppins" w:hAnsi="Poppins" w:cs="Poppins"/>
        </w:rPr>
        <w:tab/>
      </w:r>
    </w:p>
    <w:p w14:paraId="28D81F90" w14:textId="33EBC047" w:rsidR="006F632F" w:rsidRPr="00D33138" w:rsidRDefault="006F632F" w:rsidP="004111A4">
      <w:pPr>
        <w:spacing w:after="120" w:line="240" w:lineRule="auto"/>
        <w:rPr>
          <w:rFonts w:ascii="Poppins" w:hAnsi="Poppins" w:cs="Poppins"/>
        </w:rPr>
      </w:pPr>
      <w:r w:rsidRPr="00E42614">
        <w:rPr>
          <w:rFonts w:ascii="Poppins" w:hAnsi="Poppins" w:cs="Poppins"/>
          <w:b/>
          <w:bCs/>
        </w:rPr>
        <w:br w:type="page"/>
      </w:r>
      <w:r w:rsidRPr="00E42614">
        <w:rPr>
          <w:rFonts w:ascii="Poppins" w:eastAsia="Times New Roman" w:hAnsi="Poppins" w:cs="Poppins"/>
          <w:b/>
          <w:sz w:val="28"/>
          <w:szCs w:val="28"/>
        </w:rPr>
        <w:lastRenderedPageBreak/>
        <w:t>Guidance information for using this template resource</w:t>
      </w:r>
    </w:p>
    <w:p w14:paraId="063F8DF0" w14:textId="439566EC" w:rsidR="006F632F" w:rsidRPr="00F01252" w:rsidRDefault="006F632F" w:rsidP="004111A4">
      <w:pPr>
        <w:spacing w:after="120" w:line="240" w:lineRule="auto"/>
        <w:rPr>
          <w:rFonts w:ascii="Poppins" w:eastAsia="Times New Roman" w:hAnsi="Poppins" w:cs="Poppins"/>
          <w:bCs/>
        </w:rPr>
      </w:pPr>
      <w:r w:rsidRPr="00F01252">
        <w:rPr>
          <w:rFonts w:ascii="Poppins" w:eastAsia="Times New Roman" w:hAnsi="Poppins" w:cs="Poppins"/>
          <w:bCs/>
        </w:rPr>
        <w:t xml:space="preserve">This resource provides suggested guidance for the development of a standard operating procedure (SOP) for delivery of teplizumab infusions. </w:t>
      </w:r>
    </w:p>
    <w:p w14:paraId="3D7306E2" w14:textId="2F52C5F1" w:rsidR="006F632F" w:rsidRPr="00F01252" w:rsidRDefault="006F632F" w:rsidP="004111A4">
      <w:pPr>
        <w:spacing w:after="120" w:line="240" w:lineRule="auto"/>
        <w:rPr>
          <w:rFonts w:ascii="Poppins" w:eastAsia="Times New Roman" w:hAnsi="Poppins" w:cs="Poppins"/>
          <w:bCs/>
        </w:rPr>
      </w:pPr>
      <w:r w:rsidRPr="00F01252">
        <w:rPr>
          <w:rFonts w:ascii="Poppins" w:eastAsia="Times New Roman" w:hAnsi="Poppins" w:cs="Poppins"/>
          <w:bCs/>
        </w:rPr>
        <w:t xml:space="preserve">It is intended to contain useful guidance and prompts for consideration when developing a local Trust SOP.    </w:t>
      </w:r>
    </w:p>
    <w:p w14:paraId="00DBEA11" w14:textId="4F2C8CDB" w:rsidR="006F632F" w:rsidRPr="00F01252" w:rsidRDefault="006F632F" w:rsidP="004111A4">
      <w:pPr>
        <w:spacing w:after="120" w:line="240" w:lineRule="auto"/>
        <w:rPr>
          <w:rFonts w:ascii="Poppins" w:eastAsia="Times New Roman" w:hAnsi="Poppins" w:cs="Poppins"/>
          <w:bCs/>
        </w:rPr>
      </w:pPr>
      <w:r w:rsidRPr="00F01252">
        <w:rPr>
          <w:rFonts w:ascii="Poppins" w:eastAsia="Times New Roman" w:hAnsi="Poppins" w:cs="Poppins"/>
          <w:bCs/>
        </w:rPr>
        <w:t xml:space="preserve">All text in light grey </w:t>
      </w:r>
      <w:r w:rsidRPr="00F01252">
        <w:rPr>
          <w:rFonts w:ascii="Poppins" w:eastAsia="Times New Roman" w:hAnsi="Poppins" w:cs="Poppins"/>
          <w:bCs/>
          <w:color w:val="808080" w:themeColor="background1" w:themeShade="80"/>
        </w:rPr>
        <w:t xml:space="preserve">&lt;example&gt; </w:t>
      </w:r>
      <w:r w:rsidRPr="00F01252">
        <w:rPr>
          <w:rFonts w:ascii="Poppins" w:eastAsia="Times New Roman" w:hAnsi="Poppins" w:cs="Poppins"/>
          <w:bCs/>
        </w:rPr>
        <w:t>adds additional content guidance or suggestion</w:t>
      </w:r>
      <w:r w:rsidR="00B338D0" w:rsidRPr="00F01252">
        <w:rPr>
          <w:rFonts w:ascii="Poppins" w:eastAsia="Times New Roman" w:hAnsi="Poppins" w:cs="Poppins"/>
          <w:bCs/>
        </w:rPr>
        <w:t xml:space="preserve"> which may not be covered in the SmPC for teplizumab</w:t>
      </w:r>
      <w:r w:rsidRPr="00F01252">
        <w:rPr>
          <w:rFonts w:ascii="Poppins" w:eastAsia="Times New Roman" w:hAnsi="Poppins" w:cs="Poppins"/>
          <w:bCs/>
        </w:rPr>
        <w:t xml:space="preserve">. </w:t>
      </w:r>
      <w:r w:rsidR="00B338D0" w:rsidRPr="00F01252">
        <w:rPr>
          <w:rFonts w:ascii="Poppins" w:eastAsia="Times New Roman" w:hAnsi="Poppins" w:cs="Poppins"/>
          <w:bCs/>
        </w:rPr>
        <w:t>This</w:t>
      </w:r>
      <w:r w:rsidRPr="00F01252">
        <w:rPr>
          <w:rFonts w:ascii="Poppins" w:eastAsia="Times New Roman" w:hAnsi="Poppins" w:cs="Poppins"/>
          <w:bCs/>
        </w:rPr>
        <w:t xml:space="preserve"> should be tailored to your local needs within the final document.</w:t>
      </w:r>
    </w:p>
    <w:p w14:paraId="4B587D7D" w14:textId="64C5F607" w:rsidR="006F632F" w:rsidRPr="00F01252" w:rsidRDefault="006F632F" w:rsidP="004111A4">
      <w:pPr>
        <w:pStyle w:val="TOCHeading"/>
        <w:spacing w:after="120"/>
        <w:rPr>
          <w:rFonts w:eastAsia="Times New Roman" w:cs="Poppins"/>
          <w:sz w:val="22"/>
          <w:szCs w:val="22"/>
        </w:rPr>
      </w:pPr>
      <w:r w:rsidRPr="00F01252">
        <w:rPr>
          <w:rFonts w:eastAsia="Times New Roman" w:cs="Poppins"/>
          <w:sz w:val="22"/>
          <w:szCs w:val="22"/>
        </w:rPr>
        <w:t>The resource should be used to populate any local SOP templates and may not therefore contain all the information required for you to complete your template requirements.</w:t>
      </w:r>
    </w:p>
    <w:p w14:paraId="01A9433E" w14:textId="77777777" w:rsidR="006F632F" w:rsidRPr="00E42614" w:rsidRDefault="006F632F" w:rsidP="004111A4">
      <w:pPr>
        <w:spacing w:after="120" w:line="240" w:lineRule="auto"/>
        <w:rPr>
          <w:rFonts w:ascii="Poppins" w:hAnsi="Poppins" w:cs="Poppins"/>
        </w:rPr>
      </w:pPr>
    </w:p>
    <w:p w14:paraId="76C4768D" w14:textId="77777777" w:rsidR="006F632F" w:rsidRPr="00E42614" w:rsidRDefault="006F632F" w:rsidP="004111A4">
      <w:pPr>
        <w:spacing w:after="120" w:line="240" w:lineRule="auto"/>
        <w:rPr>
          <w:rFonts w:ascii="Poppins" w:hAnsi="Poppins" w:cs="Poppins"/>
        </w:rPr>
      </w:pPr>
    </w:p>
    <w:p w14:paraId="59F64ABB" w14:textId="77777777" w:rsidR="006F632F" w:rsidRPr="00E42614" w:rsidRDefault="006F632F" w:rsidP="004111A4">
      <w:pPr>
        <w:spacing w:after="120" w:line="240" w:lineRule="auto"/>
        <w:rPr>
          <w:rFonts w:ascii="Poppins" w:hAnsi="Poppins" w:cs="Poppins"/>
        </w:rPr>
      </w:pPr>
    </w:p>
    <w:p w14:paraId="36D7BDD6" w14:textId="77777777" w:rsidR="006F632F" w:rsidRPr="00E42614" w:rsidRDefault="006F632F" w:rsidP="004111A4">
      <w:pPr>
        <w:spacing w:after="120" w:line="240" w:lineRule="auto"/>
        <w:rPr>
          <w:rFonts w:ascii="Poppins" w:hAnsi="Poppins" w:cs="Poppins"/>
        </w:rPr>
      </w:pPr>
    </w:p>
    <w:p w14:paraId="7C62DF65" w14:textId="77777777" w:rsidR="006F632F" w:rsidRPr="00E42614" w:rsidRDefault="006F632F" w:rsidP="004111A4">
      <w:pPr>
        <w:spacing w:after="120" w:line="240" w:lineRule="auto"/>
        <w:rPr>
          <w:rFonts w:ascii="Poppins" w:hAnsi="Poppins" w:cs="Poppins"/>
        </w:rPr>
      </w:pPr>
    </w:p>
    <w:p w14:paraId="2A4D38CD" w14:textId="77777777" w:rsidR="006F632F" w:rsidRPr="00E42614" w:rsidRDefault="006F632F" w:rsidP="004111A4">
      <w:pPr>
        <w:spacing w:after="120" w:line="240" w:lineRule="auto"/>
        <w:rPr>
          <w:rFonts w:ascii="Poppins" w:hAnsi="Poppins" w:cs="Poppins"/>
        </w:rPr>
      </w:pPr>
    </w:p>
    <w:p w14:paraId="6EB4FD38" w14:textId="77777777" w:rsidR="006F632F" w:rsidRPr="00E42614" w:rsidRDefault="006F632F" w:rsidP="004111A4">
      <w:pPr>
        <w:spacing w:after="120" w:line="240" w:lineRule="auto"/>
        <w:rPr>
          <w:rFonts w:ascii="Poppins" w:hAnsi="Poppins" w:cs="Poppins"/>
        </w:rPr>
      </w:pPr>
    </w:p>
    <w:p w14:paraId="6C52493A" w14:textId="77777777" w:rsidR="006F632F" w:rsidRPr="00E42614" w:rsidRDefault="006F632F" w:rsidP="004111A4">
      <w:pPr>
        <w:spacing w:after="120" w:line="240" w:lineRule="auto"/>
        <w:rPr>
          <w:rFonts w:ascii="Poppins" w:hAnsi="Poppins" w:cs="Poppins"/>
        </w:rPr>
      </w:pPr>
    </w:p>
    <w:p w14:paraId="6904C3B2" w14:textId="77777777" w:rsidR="006F632F" w:rsidRPr="00E42614" w:rsidRDefault="006F632F" w:rsidP="004111A4">
      <w:pPr>
        <w:spacing w:after="120" w:line="240" w:lineRule="auto"/>
        <w:rPr>
          <w:rFonts w:ascii="Poppins" w:hAnsi="Poppins" w:cs="Poppins"/>
        </w:rPr>
      </w:pPr>
    </w:p>
    <w:p w14:paraId="4F63E962" w14:textId="641FD29F" w:rsidR="00614D9A" w:rsidRDefault="00614D9A">
      <w:pPr>
        <w:rPr>
          <w:rFonts w:ascii="Poppins" w:hAnsi="Poppins" w:cs="Poppins"/>
        </w:rPr>
      </w:pPr>
      <w:r>
        <w:rPr>
          <w:rFonts w:ascii="Poppins" w:hAnsi="Poppins" w:cs="Poppins"/>
        </w:rPr>
        <w:br w:type="page"/>
      </w:r>
    </w:p>
    <w:sdt>
      <w:sdtPr>
        <w:rPr>
          <w:rFonts w:asciiTheme="minorHAnsi" w:eastAsiaTheme="minorEastAsia" w:hAnsiTheme="minorHAnsi" w:cs="Poppins"/>
          <w:b w:val="0"/>
          <w:bCs w:val="0"/>
          <w:color w:val="auto"/>
          <w:sz w:val="22"/>
          <w:szCs w:val="22"/>
        </w:rPr>
        <w:id w:val="2026820367"/>
        <w:docPartObj>
          <w:docPartGallery w:val="Table of Contents"/>
          <w:docPartUnique/>
        </w:docPartObj>
      </w:sdtPr>
      <w:sdtEndPr/>
      <w:sdtContent>
        <w:p w14:paraId="5BF81E0D" w14:textId="1936188C" w:rsidR="00EB23C6" w:rsidRPr="00E42614" w:rsidRDefault="00EB23C6" w:rsidP="004111A4">
          <w:pPr>
            <w:pStyle w:val="TOCHeading"/>
            <w:spacing w:after="120"/>
            <w:rPr>
              <w:rFonts w:cs="Poppins"/>
              <w:szCs w:val="36"/>
            </w:rPr>
          </w:pPr>
          <w:r w:rsidRPr="00E42614">
            <w:rPr>
              <w:rFonts w:cs="Poppins"/>
              <w:szCs w:val="36"/>
            </w:rPr>
            <w:t>Contents</w:t>
          </w:r>
        </w:p>
        <w:p w14:paraId="77503E42" w14:textId="755E5430" w:rsidR="002B5EEB" w:rsidRPr="00E42614" w:rsidRDefault="00EB23C6">
          <w:pPr>
            <w:pStyle w:val="TOC1"/>
            <w:rPr>
              <w:rFonts w:asciiTheme="minorHAnsi" w:eastAsiaTheme="minorEastAsia" w:hAnsiTheme="minorHAnsi" w:cstheme="minorBidi"/>
              <w:b w:val="0"/>
              <w:bCs w:val="0"/>
              <w:color w:val="auto"/>
              <w:kern w:val="2"/>
              <w:sz w:val="22"/>
              <w:szCs w:val="22"/>
              <w:lang w:eastAsia="en-US"/>
              <w14:ligatures w14:val="standardContextual"/>
            </w:rPr>
          </w:pPr>
          <w:r w:rsidRPr="00E42614">
            <w:rPr>
              <w:b w:val="0"/>
              <w:bCs w:val="0"/>
              <w:noProof w:val="0"/>
            </w:rPr>
            <w:fldChar w:fldCharType="begin"/>
          </w:r>
          <w:r w:rsidRPr="00E42614">
            <w:rPr>
              <w:noProof w:val="0"/>
            </w:rPr>
            <w:instrText xml:space="preserve"> TOC \o "1-3" \h \z \u </w:instrText>
          </w:r>
          <w:r w:rsidRPr="00E42614">
            <w:rPr>
              <w:b w:val="0"/>
              <w:bCs w:val="0"/>
              <w:noProof w:val="0"/>
            </w:rPr>
            <w:fldChar w:fldCharType="separate"/>
          </w:r>
          <w:hyperlink w:anchor="_Toc237332026" w:history="1">
            <w:r w:rsidR="002B5EEB" w:rsidRPr="00E42614">
              <w:rPr>
                <w:rStyle w:val="Hyperlink"/>
                <w:sz w:val="22"/>
                <w:szCs w:val="22"/>
              </w:rPr>
              <w:t>Document control</w:t>
            </w:r>
            <w:r w:rsidR="002B5EEB" w:rsidRPr="00E42614">
              <w:rPr>
                <w:webHidden/>
                <w:sz w:val="22"/>
                <w:szCs w:val="22"/>
              </w:rPr>
              <w:tab/>
            </w:r>
            <w:r w:rsidR="002B5EEB" w:rsidRPr="00E42614">
              <w:rPr>
                <w:webHidden/>
                <w:sz w:val="22"/>
                <w:szCs w:val="22"/>
              </w:rPr>
              <w:fldChar w:fldCharType="begin"/>
            </w:r>
            <w:r w:rsidR="002B5EEB" w:rsidRPr="00E42614">
              <w:rPr>
                <w:webHidden/>
                <w:sz w:val="22"/>
                <w:szCs w:val="22"/>
              </w:rPr>
              <w:instrText xml:space="preserve"> PAGEREF _Toc237332026 \h </w:instrText>
            </w:r>
            <w:r w:rsidR="002B5EEB" w:rsidRPr="00E42614">
              <w:rPr>
                <w:webHidden/>
                <w:sz w:val="22"/>
                <w:szCs w:val="22"/>
              </w:rPr>
            </w:r>
            <w:r w:rsidR="002B5EEB" w:rsidRPr="00E42614">
              <w:rPr>
                <w:webHidden/>
                <w:sz w:val="22"/>
                <w:szCs w:val="22"/>
              </w:rPr>
              <w:fldChar w:fldCharType="separate"/>
            </w:r>
            <w:r w:rsidR="00614D9A">
              <w:rPr>
                <w:webHidden/>
                <w:sz w:val="22"/>
                <w:szCs w:val="22"/>
              </w:rPr>
              <w:t>4</w:t>
            </w:r>
            <w:r w:rsidR="002B5EEB" w:rsidRPr="00E42614">
              <w:rPr>
                <w:webHidden/>
                <w:sz w:val="22"/>
                <w:szCs w:val="22"/>
              </w:rPr>
              <w:fldChar w:fldCharType="end"/>
            </w:r>
          </w:hyperlink>
        </w:p>
        <w:p w14:paraId="5C7169BA" w14:textId="5ED1707A"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27" w:history="1">
            <w:r w:rsidRPr="00E42614">
              <w:rPr>
                <w:rStyle w:val="Hyperlink"/>
                <w:sz w:val="22"/>
                <w:szCs w:val="22"/>
              </w:rPr>
              <w:t>Teplizumab infusion pathway flow chart</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_Toc237332027 \h </w:instrText>
            </w:r>
            <w:r w:rsidRPr="00E42614">
              <w:rPr>
                <w:webHidden/>
                <w:sz w:val="22"/>
                <w:szCs w:val="22"/>
              </w:rPr>
            </w:r>
            <w:r w:rsidRPr="00E42614">
              <w:rPr>
                <w:webHidden/>
                <w:sz w:val="22"/>
                <w:szCs w:val="22"/>
              </w:rPr>
              <w:fldChar w:fldCharType="separate"/>
            </w:r>
            <w:r w:rsidR="00614D9A">
              <w:rPr>
                <w:webHidden/>
                <w:sz w:val="22"/>
                <w:szCs w:val="22"/>
              </w:rPr>
              <w:t>5</w:t>
            </w:r>
            <w:r w:rsidRPr="00E42614">
              <w:rPr>
                <w:webHidden/>
                <w:sz w:val="22"/>
                <w:szCs w:val="22"/>
              </w:rPr>
              <w:fldChar w:fldCharType="end"/>
            </w:r>
          </w:hyperlink>
        </w:p>
        <w:p w14:paraId="05F1F93D" w14:textId="37D3627A"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28" w:history="1">
            <w:r w:rsidRPr="00E42614">
              <w:rPr>
                <w:rStyle w:val="Hyperlink"/>
                <w:sz w:val="22"/>
                <w:szCs w:val="22"/>
              </w:rPr>
              <w:t>Purpose</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_Toc237332028 \h </w:instrText>
            </w:r>
            <w:r w:rsidRPr="00E42614">
              <w:rPr>
                <w:webHidden/>
                <w:sz w:val="22"/>
                <w:szCs w:val="22"/>
              </w:rPr>
            </w:r>
            <w:r w:rsidRPr="00E42614">
              <w:rPr>
                <w:webHidden/>
                <w:sz w:val="22"/>
                <w:szCs w:val="22"/>
              </w:rPr>
              <w:fldChar w:fldCharType="separate"/>
            </w:r>
            <w:r w:rsidR="00614D9A">
              <w:rPr>
                <w:webHidden/>
                <w:sz w:val="22"/>
                <w:szCs w:val="22"/>
              </w:rPr>
              <w:t>6</w:t>
            </w:r>
            <w:r w:rsidRPr="00E42614">
              <w:rPr>
                <w:webHidden/>
                <w:sz w:val="22"/>
                <w:szCs w:val="22"/>
              </w:rPr>
              <w:fldChar w:fldCharType="end"/>
            </w:r>
          </w:hyperlink>
        </w:p>
        <w:p w14:paraId="2EF34585" w14:textId="23CFF129"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29" w:history="1">
            <w:r w:rsidRPr="00E42614">
              <w:rPr>
                <w:rStyle w:val="Hyperlink"/>
                <w:sz w:val="22"/>
                <w:szCs w:val="22"/>
              </w:rPr>
              <w:t>Scope</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_Toc237332029 \h </w:instrText>
            </w:r>
            <w:r w:rsidRPr="00E42614">
              <w:rPr>
                <w:webHidden/>
                <w:sz w:val="22"/>
                <w:szCs w:val="22"/>
              </w:rPr>
            </w:r>
            <w:r w:rsidRPr="00E42614">
              <w:rPr>
                <w:webHidden/>
                <w:sz w:val="22"/>
                <w:szCs w:val="22"/>
              </w:rPr>
              <w:fldChar w:fldCharType="separate"/>
            </w:r>
            <w:r w:rsidR="00614D9A">
              <w:rPr>
                <w:webHidden/>
                <w:sz w:val="22"/>
                <w:szCs w:val="22"/>
              </w:rPr>
              <w:t>6</w:t>
            </w:r>
            <w:r w:rsidRPr="00E42614">
              <w:rPr>
                <w:webHidden/>
                <w:sz w:val="22"/>
                <w:szCs w:val="22"/>
              </w:rPr>
              <w:fldChar w:fldCharType="end"/>
            </w:r>
          </w:hyperlink>
        </w:p>
        <w:p w14:paraId="45BEC72C" w14:textId="0BE7C08F"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0" w:history="1">
            <w:r w:rsidRPr="00E42614">
              <w:rPr>
                <w:rStyle w:val="Hyperlink"/>
                <w:sz w:val="22"/>
                <w:szCs w:val="22"/>
              </w:rPr>
              <w:t>Terminology and abbreviations</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_Toc237332030 \h </w:instrText>
            </w:r>
            <w:r w:rsidRPr="00E42614">
              <w:rPr>
                <w:webHidden/>
                <w:sz w:val="22"/>
                <w:szCs w:val="22"/>
              </w:rPr>
            </w:r>
            <w:r w:rsidRPr="00E42614">
              <w:rPr>
                <w:webHidden/>
                <w:sz w:val="22"/>
                <w:szCs w:val="22"/>
              </w:rPr>
              <w:fldChar w:fldCharType="separate"/>
            </w:r>
            <w:r w:rsidR="00614D9A">
              <w:rPr>
                <w:webHidden/>
                <w:sz w:val="22"/>
                <w:szCs w:val="22"/>
              </w:rPr>
              <w:t>7</w:t>
            </w:r>
            <w:r w:rsidRPr="00E42614">
              <w:rPr>
                <w:webHidden/>
                <w:sz w:val="22"/>
                <w:szCs w:val="22"/>
              </w:rPr>
              <w:fldChar w:fldCharType="end"/>
            </w:r>
          </w:hyperlink>
        </w:p>
        <w:p w14:paraId="42EBC43E" w14:textId="547A6065"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1" w:history="1">
            <w:r w:rsidRPr="00E42614">
              <w:rPr>
                <w:rStyle w:val="Hyperlink"/>
                <w:sz w:val="22"/>
                <w:szCs w:val="22"/>
              </w:rPr>
              <w:t>Roles and responsibilities</w:t>
            </w:r>
            <w:r w:rsidRPr="00E42614">
              <w:rPr>
                <w:webHidden/>
                <w:sz w:val="22"/>
                <w:szCs w:val="22"/>
              </w:rPr>
              <w:tab/>
            </w:r>
            <w:r w:rsidR="00804CD7">
              <w:rPr>
                <w:webHidden/>
                <w:sz w:val="22"/>
                <w:szCs w:val="22"/>
              </w:rPr>
              <w:t>9</w:t>
            </w:r>
          </w:hyperlink>
        </w:p>
        <w:p w14:paraId="69D44F85" w14:textId="4C573D69"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2" w:history="1">
            <w:r w:rsidRPr="00E42614">
              <w:rPr>
                <w:rStyle w:val="Hyperlink"/>
                <w:sz w:val="22"/>
                <w:szCs w:val="22"/>
              </w:rPr>
              <w:t>Patient cohorts</w:t>
            </w:r>
            <w:r w:rsidRPr="00E42614">
              <w:rPr>
                <w:webHidden/>
                <w:sz w:val="22"/>
                <w:szCs w:val="22"/>
              </w:rPr>
              <w:tab/>
            </w:r>
            <w:r w:rsidR="00804CD7">
              <w:rPr>
                <w:webHidden/>
                <w:sz w:val="22"/>
                <w:szCs w:val="22"/>
              </w:rPr>
              <w:t>10</w:t>
            </w:r>
          </w:hyperlink>
        </w:p>
        <w:p w14:paraId="10FB88B8" w14:textId="6F2469C5"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3" w:history="1">
            <w:r w:rsidRPr="00E42614">
              <w:rPr>
                <w:rStyle w:val="Hyperlink"/>
                <w:sz w:val="22"/>
                <w:szCs w:val="22"/>
              </w:rPr>
              <w:t>Eligibility assessment</w:t>
            </w:r>
            <w:r w:rsidRPr="00E42614">
              <w:rPr>
                <w:webHidden/>
                <w:sz w:val="22"/>
                <w:szCs w:val="22"/>
              </w:rPr>
              <w:tab/>
            </w:r>
            <w:r w:rsidR="00804CD7">
              <w:rPr>
                <w:webHidden/>
                <w:sz w:val="22"/>
                <w:szCs w:val="22"/>
              </w:rPr>
              <w:t>12</w:t>
            </w:r>
          </w:hyperlink>
        </w:p>
        <w:p w14:paraId="1CB8C7CC" w14:textId="4D3D7665"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4" w:history="1">
            <w:r w:rsidRPr="00E42614">
              <w:rPr>
                <w:rStyle w:val="Hyperlink"/>
                <w:sz w:val="22"/>
                <w:szCs w:val="22"/>
              </w:rPr>
              <w:t>Baseline assessment</w:t>
            </w:r>
            <w:r w:rsidRPr="00E42614">
              <w:rPr>
                <w:webHidden/>
                <w:sz w:val="22"/>
                <w:szCs w:val="22"/>
              </w:rPr>
              <w:tab/>
            </w:r>
            <w:r w:rsidR="00804CD7">
              <w:rPr>
                <w:webHidden/>
                <w:sz w:val="22"/>
                <w:szCs w:val="22"/>
              </w:rPr>
              <w:t>13</w:t>
            </w:r>
          </w:hyperlink>
        </w:p>
        <w:p w14:paraId="77D5A57D" w14:textId="3D74B131"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5" w:history="1">
            <w:r w:rsidRPr="00E42614">
              <w:rPr>
                <w:rStyle w:val="Hyperlink"/>
                <w:sz w:val="22"/>
                <w:szCs w:val="22"/>
              </w:rPr>
              <w:t>Shared decision-making</w:t>
            </w:r>
            <w:r w:rsidRPr="00E42614">
              <w:rPr>
                <w:webHidden/>
                <w:sz w:val="22"/>
                <w:szCs w:val="22"/>
              </w:rPr>
              <w:tab/>
            </w:r>
            <w:r w:rsidR="00804CD7">
              <w:rPr>
                <w:webHidden/>
                <w:sz w:val="22"/>
                <w:szCs w:val="22"/>
              </w:rPr>
              <w:t>14</w:t>
            </w:r>
          </w:hyperlink>
        </w:p>
        <w:p w14:paraId="5A3A9815" w14:textId="3692F03F"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6" w:history="1">
            <w:r w:rsidRPr="00E42614">
              <w:rPr>
                <w:rStyle w:val="Hyperlink"/>
                <w:sz w:val="22"/>
                <w:szCs w:val="22"/>
              </w:rPr>
              <w:t>Prescribing and supply</w:t>
            </w:r>
            <w:r w:rsidRPr="00E42614">
              <w:rPr>
                <w:webHidden/>
                <w:sz w:val="22"/>
                <w:szCs w:val="22"/>
              </w:rPr>
              <w:tab/>
            </w:r>
            <w:r w:rsidR="00804CD7">
              <w:rPr>
                <w:webHidden/>
                <w:sz w:val="22"/>
                <w:szCs w:val="22"/>
              </w:rPr>
              <w:t>15</w:t>
            </w:r>
          </w:hyperlink>
        </w:p>
        <w:p w14:paraId="14E93838" w14:textId="7B7048E8"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7" w:history="1">
            <w:r w:rsidRPr="00E42614">
              <w:rPr>
                <w:rStyle w:val="Hyperlink"/>
                <w:sz w:val="22"/>
                <w:szCs w:val="22"/>
              </w:rPr>
              <w:t>Administration of teplizumab</w:t>
            </w:r>
            <w:r w:rsidRPr="00E42614">
              <w:rPr>
                <w:webHidden/>
                <w:sz w:val="22"/>
                <w:szCs w:val="22"/>
              </w:rPr>
              <w:tab/>
            </w:r>
            <w:r w:rsidR="00804CD7">
              <w:rPr>
                <w:webHidden/>
                <w:sz w:val="22"/>
                <w:szCs w:val="22"/>
              </w:rPr>
              <w:t>16</w:t>
            </w:r>
          </w:hyperlink>
        </w:p>
        <w:p w14:paraId="521E86F9" w14:textId="0883B72E"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8" w:history="1">
            <w:r w:rsidRPr="00E42614">
              <w:rPr>
                <w:rStyle w:val="Hyperlink"/>
                <w:sz w:val="22"/>
                <w:szCs w:val="22"/>
              </w:rPr>
              <w:t>Monitoring during treatment</w:t>
            </w:r>
            <w:r w:rsidRPr="00E42614">
              <w:rPr>
                <w:webHidden/>
                <w:sz w:val="22"/>
                <w:szCs w:val="22"/>
              </w:rPr>
              <w:tab/>
            </w:r>
            <w:r w:rsidR="00804CD7">
              <w:rPr>
                <w:webHidden/>
                <w:sz w:val="22"/>
                <w:szCs w:val="22"/>
              </w:rPr>
              <w:t>18</w:t>
            </w:r>
          </w:hyperlink>
        </w:p>
        <w:p w14:paraId="782CD4FF" w14:textId="4C92FD47"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9" w:history="1">
            <w:r w:rsidRPr="00E42614">
              <w:rPr>
                <w:rStyle w:val="Hyperlink"/>
                <w:sz w:val="22"/>
                <w:szCs w:val="22"/>
              </w:rPr>
              <w:t>Escalation protocol if signs of adverse drug reaction</w:t>
            </w:r>
            <w:r w:rsidRPr="00E42614">
              <w:rPr>
                <w:webHidden/>
                <w:sz w:val="22"/>
                <w:szCs w:val="22"/>
              </w:rPr>
              <w:tab/>
            </w:r>
            <w:r w:rsidR="00804CD7">
              <w:rPr>
                <w:webHidden/>
                <w:sz w:val="22"/>
                <w:szCs w:val="22"/>
              </w:rPr>
              <w:t>19</w:t>
            </w:r>
          </w:hyperlink>
        </w:p>
        <w:p w14:paraId="6AF432F8" w14:textId="41DB15A0"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0" w:history="1">
            <w:r w:rsidRPr="00E42614">
              <w:rPr>
                <w:rStyle w:val="Hyperlink"/>
                <w:sz w:val="22"/>
                <w:szCs w:val="22"/>
              </w:rPr>
              <w:t>Follow-up after treatment</w:t>
            </w:r>
            <w:r w:rsidRPr="00E42614">
              <w:rPr>
                <w:webHidden/>
                <w:sz w:val="22"/>
                <w:szCs w:val="22"/>
              </w:rPr>
              <w:tab/>
            </w:r>
            <w:r w:rsidR="00804CD7">
              <w:rPr>
                <w:webHidden/>
                <w:sz w:val="22"/>
                <w:szCs w:val="22"/>
              </w:rPr>
              <w:t>21</w:t>
            </w:r>
          </w:hyperlink>
        </w:p>
        <w:p w14:paraId="35544982" w14:textId="7417D07C"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1" w:history="1">
            <w:r w:rsidRPr="00E42614">
              <w:rPr>
                <w:rStyle w:val="Hyperlink"/>
                <w:sz w:val="22"/>
                <w:szCs w:val="22"/>
              </w:rPr>
              <w:t>Progression to Stage 3 T1D</w:t>
            </w:r>
            <w:r w:rsidRPr="00E42614">
              <w:rPr>
                <w:webHidden/>
                <w:sz w:val="22"/>
                <w:szCs w:val="22"/>
              </w:rPr>
              <w:tab/>
            </w:r>
            <w:r w:rsidR="00804CD7">
              <w:rPr>
                <w:webHidden/>
                <w:sz w:val="22"/>
                <w:szCs w:val="22"/>
              </w:rPr>
              <w:t>23</w:t>
            </w:r>
          </w:hyperlink>
        </w:p>
        <w:p w14:paraId="7D94CBFA" w14:textId="29FCDC81"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2" w:history="1">
            <w:r w:rsidRPr="00E42614">
              <w:rPr>
                <w:rStyle w:val="Hyperlink"/>
                <w:sz w:val="22"/>
                <w:szCs w:val="22"/>
              </w:rPr>
              <w:t>Governance</w:t>
            </w:r>
            <w:r w:rsidRPr="00E42614">
              <w:rPr>
                <w:webHidden/>
                <w:sz w:val="22"/>
                <w:szCs w:val="22"/>
              </w:rPr>
              <w:tab/>
            </w:r>
            <w:r w:rsidR="00804CD7">
              <w:rPr>
                <w:webHidden/>
                <w:sz w:val="22"/>
                <w:szCs w:val="22"/>
              </w:rPr>
              <w:t>23</w:t>
            </w:r>
          </w:hyperlink>
        </w:p>
        <w:p w14:paraId="50622829" w14:textId="57D1B518"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3" w:history="1">
            <w:r w:rsidRPr="00E42614">
              <w:rPr>
                <w:rStyle w:val="Hyperlink"/>
                <w:sz w:val="22"/>
                <w:szCs w:val="22"/>
              </w:rPr>
              <w:t>Appendix 1. Checklist for responsible clinician</w:t>
            </w:r>
            <w:r w:rsidRPr="00E42614">
              <w:rPr>
                <w:webHidden/>
                <w:sz w:val="22"/>
                <w:szCs w:val="22"/>
              </w:rPr>
              <w:tab/>
            </w:r>
            <w:r w:rsidR="00804CD7">
              <w:rPr>
                <w:webHidden/>
                <w:sz w:val="22"/>
                <w:szCs w:val="22"/>
              </w:rPr>
              <w:t>25</w:t>
            </w:r>
          </w:hyperlink>
        </w:p>
        <w:p w14:paraId="60AB8DED" w14:textId="254996EF"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4" w:history="1">
            <w:r w:rsidRPr="00E42614">
              <w:rPr>
                <w:rStyle w:val="Hyperlink"/>
                <w:sz w:val="22"/>
                <w:szCs w:val="22"/>
              </w:rPr>
              <w:t>Appendix 2. Infusion day checklist for person administering infusion</w:t>
            </w:r>
            <w:r w:rsidRPr="00E42614">
              <w:rPr>
                <w:webHidden/>
                <w:sz w:val="22"/>
                <w:szCs w:val="22"/>
              </w:rPr>
              <w:tab/>
            </w:r>
            <w:r w:rsidR="00804CD7">
              <w:rPr>
                <w:webHidden/>
                <w:sz w:val="22"/>
                <w:szCs w:val="22"/>
              </w:rPr>
              <w:t>26</w:t>
            </w:r>
          </w:hyperlink>
        </w:p>
        <w:p w14:paraId="30709F8E" w14:textId="450981C9"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5" w:history="1">
            <w:r w:rsidRPr="00E42614">
              <w:rPr>
                <w:rStyle w:val="Hyperlink"/>
                <w:sz w:val="22"/>
                <w:szCs w:val="22"/>
              </w:rPr>
              <w:t>Prescribing information</w:t>
            </w:r>
            <w:r w:rsidRPr="00E42614">
              <w:rPr>
                <w:webHidden/>
                <w:sz w:val="22"/>
                <w:szCs w:val="22"/>
              </w:rPr>
              <w:tab/>
            </w:r>
            <w:r w:rsidR="00804CD7">
              <w:rPr>
                <w:webHidden/>
                <w:sz w:val="22"/>
                <w:szCs w:val="22"/>
              </w:rPr>
              <w:t>27</w:t>
            </w:r>
          </w:hyperlink>
        </w:p>
        <w:p w14:paraId="6BA5D7FC" w14:textId="3436365D"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6" w:history="1">
            <w:r w:rsidRPr="00E42614">
              <w:rPr>
                <w:rStyle w:val="Hyperlink"/>
                <w:sz w:val="22"/>
                <w:szCs w:val="22"/>
              </w:rPr>
              <w:t>References</w:t>
            </w:r>
            <w:r w:rsidRPr="00E42614">
              <w:rPr>
                <w:webHidden/>
                <w:sz w:val="22"/>
                <w:szCs w:val="22"/>
              </w:rPr>
              <w:tab/>
            </w:r>
            <w:r w:rsidR="00804CD7">
              <w:rPr>
                <w:webHidden/>
                <w:sz w:val="22"/>
                <w:szCs w:val="22"/>
              </w:rPr>
              <w:t>29</w:t>
            </w:r>
          </w:hyperlink>
        </w:p>
        <w:p w14:paraId="58A5B27C" w14:textId="545BD0BD" w:rsidR="00EB23C6" w:rsidRPr="00E42614" w:rsidRDefault="00EB23C6" w:rsidP="004111A4">
          <w:pPr>
            <w:spacing w:after="120" w:line="240" w:lineRule="auto"/>
            <w:rPr>
              <w:rFonts w:ascii="Poppins" w:hAnsi="Poppins" w:cs="Poppins"/>
            </w:rPr>
          </w:pPr>
          <w:r w:rsidRPr="00E42614">
            <w:rPr>
              <w:rFonts w:ascii="Poppins" w:hAnsi="Poppins" w:cs="Poppins"/>
              <w:b/>
              <w:bCs/>
            </w:rPr>
            <w:fldChar w:fldCharType="end"/>
          </w:r>
        </w:p>
      </w:sdtContent>
    </w:sdt>
    <w:p w14:paraId="45BA4158" w14:textId="77777777" w:rsidR="00C43703" w:rsidRPr="00E42614" w:rsidRDefault="00C43703" w:rsidP="004111A4">
      <w:pPr>
        <w:spacing w:after="120" w:line="240" w:lineRule="auto"/>
        <w:outlineLvl w:val="1"/>
        <w:rPr>
          <w:rFonts w:ascii="Poppins" w:eastAsia="Times New Roman" w:hAnsi="Poppins" w:cs="Poppins"/>
          <w:b/>
          <w:bCs/>
          <w:sz w:val="36"/>
          <w:szCs w:val="36"/>
          <w:lang w:eastAsia="en-GB"/>
        </w:rPr>
      </w:pPr>
    </w:p>
    <w:p w14:paraId="10FA8755" w14:textId="77777777" w:rsidR="00C43703" w:rsidRPr="00E42614" w:rsidRDefault="00C43703" w:rsidP="004111A4">
      <w:pPr>
        <w:spacing w:after="120" w:line="240" w:lineRule="auto"/>
        <w:outlineLvl w:val="1"/>
        <w:rPr>
          <w:rFonts w:ascii="Poppins" w:eastAsia="Times New Roman" w:hAnsi="Poppins" w:cs="Poppins"/>
          <w:b/>
          <w:bCs/>
          <w:sz w:val="36"/>
          <w:szCs w:val="36"/>
          <w:lang w:eastAsia="en-GB"/>
        </w:rPr>
      </w:pPr>
    </w:p>
    <w:p w14:paraId="3D8241CB" w14:textId="77777777" w:rsidR="00C43703" w:rsidRPr="00E42614" w:rsidRDefault="00C43703" w:rsidP="004111A4">
      <w:pPr>
        <w:spacing w:after="120" w:line="240" w:lineRule="auto"/>
        <w:outlineLvl w:val="1"/>
        <w:rPr>
          <w:rFonts w:ascii="Poppins" w:eastAsia="Times New Roman" w:hAnsi="Poppins" w:cs="Poppins"/>
          <w:b/>
          <w:bCs/>
          <w:sz w:val="36"/>
          <w:szCs w:val="36"/>
          <w:lang w:eastAsia="en-GB"/>
        </w:rPr>
      </w:pPr>
    </w:p>
    <w:p w14:paraId="29EA3388" w14:textId="77777777" w:rsidR="00614D9A" w:rsidRDefault="00614D9A">
      <w:pPr>
        <w:rPr>
          <w:rFonts w:ascii="Poppins" w:hAnsi="Poppins" w:cs="Poppins"/>
          <w:b/>
          <w:bCs/>
          <w:sz w:val="44"/>
          <w:szCs w:val="44"/>
          <w:lang w:eastAsia="en-GB"/>
        </w:rPr>
      </w:pPr>
      <w:r>
        <w:rPr>
          <w:rFonts w:ascii="Poppins" w:hAnsi="Poppins" w:cs="Poppins"/>
          <w:b/>
          <w:bCs/>
          <w:sz w:val="44"/>
          <w:szCs w:val="44"/>
          <w:lang w:eastAsia="en-GB"/>
        </w:rPr>
        <w:br w:type="page"/>
      </w:r>
    </w:p>
    <w:p w14:paraId="03770FCB" w14:textId="34C2A2BE" w:rsidR="00EF4718" w:rsidRPr="00E42614" w:rsidRDefault="00EF4718" w:rsidP="004111A4">
      <w:pPr>
        <w:rPr>
          <w:rFonts w:ascii="Poppins" w:hAnsi="Poppins" w:cs="Poppins"/>
          <w:sz w:val="44"/>
          <w:szCs w:val="44"/>
          <w:lang w:eastAsia="en-GB"/>
        </w:rPr>
      </w:pPr>
      <w:r w:rsidRPr="004144D4">
        <w:rPr>
          <w:rFonts w:ascii="Poppins" w:eastAsiaTheme="majorEastAsia" w:hAnsi="Poppins" w:cs="Poppins"/>
          <w:b/>
          <w:bCs/>
          <w:color w:val="0023C8"/>
          <w:sz w:val="36"/>
          <w:szCs w:val="36"/>
        </w:rPr>
        <w:lastRenderedPageBreak/>
        <w:t>Standard Operating Procedure (SOP):</w:t>
      </w:r>
      <w:r w:rsidR="004111A4" w:rsidRPr="00E42614">
        <w:rPr>
          <w:rFonts w:ascii="Poppins" w:hAnsi="Poppins" w:cs="Poppins"/>
          <w:sz w:val="44"/>
          <w:szCs w:val="44"/>
          <w:lang w:eastAsia="en-GB"/>
        </w:rPr>
        <w:br/>
      </w:r>
      <w:r w:rsidRPr="004144D4">
        <w:rPr>
          <w:rFonts w:ascii="Poppins" w:eastAsia="Times New Roman" w:hAnsi="Poppins" w:cs="Poppins"/>
          <w:b/>
          <w:sz w:val="28"/>
          <w:szCs w:val="28"/>
        </w:rPr>
        <w:t>Administration of Teplizumab (Tzield)</w:t>
      </w:r>
    </w:p>
    <w:p w14:paraId="1E06E942" w14:textId="4B46DF1A" w:rsidR="00956C5D" w:rsidRDefault="00EF4718" w:rsidP="00F01252">
      <w:pPr>
        <w:spacing w:after="120" w:line="240" w:lineRule="auto"/>
        <w:rPr>
          <w:rFonts w:ascii="Poppins" w:eastAsia="Times New Roman" w:hAnsi="Poppins" w:cs="Poppins"/>
          <w:i/>
          <w:iCs/>
          <w:sz w:val="21"/>
          <w:szCs w:val="21"/>
          <w:lang w:eastAsia="en-GB"/>
        </w:rPr>
      </w:pPr>
      <w:r w:rsidRPr="00E42614">
        <w:rPr>
          <w:rFonts w:ascii="Poppins" w:eastAsia="Times New Roman" w:hAnsi="Poppins" w:cs="Poppins"/>
          <w:b/>
          <w:bCs/>
          <w:sz w:val="21"/>
          <w:szCs w:val="21"/>
          <w:lang w:eastAsia="en-GB"/>
        </w:rPr>
        <w:t>Version:</w:t>
      </w:r>
      <w:r w:rsidRPr="00E42614">
        <w:rPr>
          <w:rFonts w:ascii="Poppins" w:eastAsia="Times New Roman" w:hAnsi="Poppins" w:cs="Poppins"/>
          <w:sz w:val="21"/>
          <w:szCs w:val="21"/>
          <w:lang w:eastAsia="en-GB"/>
        </w:rPr>
        <w:t xml:space="preserve"> </w:t>
      </w:r>
      <w:r w:rsidR="008A3A4D" w:rsidRPr="00E42614">
        <w:rPr>
          <w:rFonts w:ascii="Poppins" w:eastAsia="Times New Roman" w:hAnsi="Poppins" w:cs="Poppins"/>
          <w:sz w:val="21"/>
          <w:szCs w:val="21"/>
          <w:lang w:eastAsia="en-GB"/>
        </w:rPr>
        <w:t>1</w:t>
      </w:r>
      <w:r w:rsidRPr="00E42614">
        <w:rPr>
          <w:rFonts w:ascii="Poppins" w:eastAsia="Times New Roman" w:hAnsi="Poppins" w:cs="Poppins"/>
          <w:sz w:val="21"/>
          <w:szCs w:val="21"/>
          <w:lang w:eastAsia="en-GB"/>
        </w:rPr>
        <w:t>.0</w:t>
      </w:r>
      <w:r w:rsidRPr="00E42614">
        <w:rPr>
          <w:rFonts w:ascii="Poppins" w:eastAsia="Times New Roman" w:hAnsi="Poppins" w:cs="Poppins"/>
          <w:sz w:val="21"/>
          <w:szCs w:val="21"/>
          <w:lang w:eastAsia="en-GB"/>
        </w:rPr>
        <w:br/>
      </w:r>
      <w:r w:rsidRPr="00E42614">
        <w:rPr>
          <w:rFonts w:ascii="Poppins" w:eastAsia="Times New Roman" w:hAnsi="Poppins" w:cs="Poppins"/>
          <w:b/>
          <w:bCs/>
          <w:sz w:val="21"/>
          <w:szCs w:val="21"/>
          <w:lang w:eastAsia="en-GB"/>
        </w:rPr>
        <w:t>Trust:</w:t>
      </w:r>
      <w:r w:rsidRPr="00E42614">
        <w:rPr>
          <w:rFonts w:ascii="Poppins" w:eastAsia="Times New Roman" w:hAnsi="Poppins" w:cs="Poppins"/>
          <w:sz w:val="21"/>
          <w:szCs w:val="21"/>
          <w:lang w:eastAsia="en-GB"/>
        </w:rPr>
        <w:t xml:space="preserve"> </w:t>
      </w:r>
      <w:r w:rsidRPr="00E42614">
        <w:rPr>
          <w:rFonts w:ascii="Poppins" w:eastAsia="Times New Roman" w:hAnsi="Poppins" w:cs="Poppins"/>
          <w:i/>
          <w:iCs/>
          <w:sz w:val="21"/>
          <w:szCs w:val="21"/>
          <w:lang w:eastAsia="en-GB"/>
        </w:rPr>
        <w:t>[Trust to insert]</w:t>
      </w:r>
      <w:bookmarkStart w:id="0" w:name="_Toc237332026"/>
    </w:p>
    <w:p w14:paraId="3D4D5F7B" w14:textId="77777777" w:rsidR="00F01252" w:rsidRPr="00F01252" w:rsidRDefault="00F01252" w:rsidP="00F01252">
      <w:pPr>
        <w:spacing w:after="120" w:line="240" w:lineRule="auto"/>
        <w:rPr>
          <w:rFonts w:ascii="Poppins" w:eastAsia="Times New Roman" w:hAnsi="Poppins" w:cs="Poppins"/>
          <w:i/>
          <w:iCs/>
          <w:sz w:val="21"/>
          <w:szCs w:val="21"/>
          <w:lang w:eastAsia="en-GB"/>
        </w:rPr>
      </w:pPr>
    </w:p>
    <w:p w14:paraId="0845112B" w14:textId="757ED6E4" w:rsidR="00EF4718" w:rsidRPr="00E42614" w:rsidRDefault="00EF4718" w:rsidP="004111A4">
      <w:pPr>
        <w:pStyle w:val="Heading1"/>
        <w:rPr>
          <w:lang w:eastAsia="en-GB"/>
        </w:rPr>
      </w:pPr>
      <w:r w:rsidRPr="00F01252">
        <w:rPr>
          <w:lang w:eastAsia="en-GB"/>
        </w:rPr>
        <w:t>Document</w:t>
      </w:r>
      <w:r w:rsidRPr="00E42614">
        <w:rPr>
          <w:lang w:eastAsia="en-GB"/>
        </w:rPr>
        <w:t xml:space="preserve"> </w:t>
      </w:r>
      <w:r w:rsidR="00487F85" w:rsidRPr="00E42614">
        <w:rPr>
          <w:lang w:eastAsia="en-GB"/>
        </w:rPr>
        <w:t>c</w:t>
      </w:r>
      <w:r w:rsidRPr="00E42614">
        <w:rPr>
          <w:lang w:eastAsia="en-GB"/>
        </w:rPr>
        <w:t>ontrol</w:t>
      </w:r>
      <w:bookmarkEnd w:id="0"/>
    </w:p>
    <w:tbl>
      <w:tblPr>
        <w:tblW w:w="8639" w:type="dxa"/>
        <w:tblCellSpacing w:w="15" w:type="dxa"/>
        <w:tblBorders>
          <w:insideH w:val="single" w:sz="8" w:space="0" w:color="FFFFFF" w:themeColor="background1"/>
          <w:insideV w:val="single" w:sz="8" w:space="0" w:color="FFFFFF" w:themeColor="background1"/>
        </w:tblBorders>
        <w:tblCellMar>
          <w:top w:w="15" w:type="dxa"/>
          <w:left w:w="170" w:type="dxa"/>
          <w:bottom w:w="15" w:type="dxa"/>
          <w:right w:w="170" w:type="dxa"/>
        </w:tblCellMar>
        <w:tblLook w:val="04A0" w:firstRow="1" w:lastRow="0" w:firstColumn="1" w:lastColumn="0" w:noHBand="0" w:noVBand="1"/>
      </w:tblPr>
      <w:tblGrid>
        <w:gridCol w:w="4319"/>
        <w:gridCol w:w="4320"/>
      </w:tblGrid>
      <w:tr w:rsidR="00EF4718" w:rsidRPr="00AD27C7" w14:paraId="15DEB520" w14:textId="77777777" w:rsidTr="00974651">
        <w:trPr>
          <w:trHeight w:val="454"/>
          <w:tblCellSpacing w:w="15" w:type="dxa"/>
        </w:trPr>
        <w:tc>
          <w:tcPr>
            <w:tcW w:w="4274" w:type="dxa"/>
            <w:shd w:val="clear" w:color="auto" w:fill="9FD8FF"/>
            <w:vAlign w:val="center"/>
            <w:hideMark/>
          </w:tcPr>
          <w:p w14:paraId="5CB062CE" w14:textId="77777777" w:rsidR="00EF4718" w:rsidRPr="00AD27C7" w:rsidRDefault="00EF4718" w:rsidP="00974651">
            <w:pPr>
              <w:spacing w:after="0" w:line="240" w:lineRule="auto"/>
              <w:jc w:val="center"/>
              <w:rPr>
                <w:rFonts w:ascii="Poppins" w:eastAsia="Times New Roman" w:hAnsi="Poppins" w:cs="Poppins"/>
                <w:b/>
                <w:bCs/>
                <w:color w:val="0023C8"/>
                <w:lang w:eastAsia="en-GB"/>
              </w:rPr>
            </w:pPr>
            <w:r w:rsidRPr="00AD27C7">
              <w:rPr>
                <w:rFonts w:ascii="Poppins" w:eastAsia="Times New Roman" w:hAnsi="Poppins" w:cs="Poppins"/>
                <w:b/>
                <w:bCs/>
                <w:color w:val="0023C8"/>
                <w:lang w:eastAsia="en-GB"/>
              </w:rPr>
              <w:t>Field</w:t>
            </w:r>
          </w:p>
        </w:tc>
        <w:tc>
          <w:tcPr>
            <w:tcW w:w="4275" w:type="dxa"/>
            <w:shd w:val="clear" w:color="auto" w:fill="9FD8FF"/>
            <w:vAlign w:val="center"/>
            <w:hideMark/>
          </w:tcPr>
          <w:p w14:paraId="75CB5DE9" w14:textId="77777777" w:rsidR="00EF4718" w:rsidRPr="00AD27C7" w:rsidRDefault="00EF4718" w:rsidP="00974651">
            <w:pPr>
              <w:spacing w:after="0" w:line="240" w:lineRule="auto"/>
              <w:jc w:val="center"/>
              <w:rPr>
                <w:rFonts w:ascii="Poppins" w:eastAsia="Times New Roman" w:hAnsi="Poppins" w:cs="Poppins"/>
                <w:b/>
                <w:bCs/>
                <w:color w:val="0023C8"/>
                <w:lang w:eastAsia="en-GB"/>
              </w:rPr>
            </w:pPr>
            <w:r w:rsidRPr="00AD27C7">
              <w:rPr>
                <w:rFonts w:ascii="Poppins" w:eastAsia="Times New Roman" w:hAnsi="Poppins" w:cs="Poppins"/>
                <w:b/>
                <w:bCs/>
                <w:color w:val="0023C8"/>
                <w:lang w:eastAsia="en-GB"/>
              </w:rPr>
              <w:t>Detail</w:t>
            </w:r>
          </w:p>
        </w:tc>
      </w:tr>
      <w:tr w:rsidR="00EF4718" w:rsidRPr="00AD27C7" w14:paraId="5FF49A49" w14:textId="77777777" w:rsidTr="00974651">
        <w:trPr>
          <w:trHeight w:val="454"/>
          <w:tblCellSpacing w:w="15" w:type="dxa"/>
        </w:trPr>
        <w:tc>
          <w:tcPr>
            <w:tcW w:w="4274" w:type="dxa"/>
            <w:shd w:val="clear" w:color="auto" w:fill="F2F2F2" w:themeFill="background1" w:themeFillShade="F2"/>
            <w:vAlign w:val="center"/>
            <w:hideMark/>
          </w:tcPr>
          <w:p w14:paraId="1BD73B4F"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Document Title</w:t>
            </w:r>
          </w:p>
        </w:tc>
        <w:tc>
          <w:tcPr>
            <w:tcW w:w="4275" w:type="dxa"/>
            <w:shd w:val="clear" w:color="auto" w:fill="F2F2F2" w:themeFill="background1" w:themeFillShade="F2"/>
            <w:vAlign w:val="center"/>
            <w:hideMark/>
          </w:tcPr>
          <w:p w14:paraId="2B0AFF65"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Teplizumab SOP</w:t>
            </w:r>
          </w:p>
        </w:tc>
      </w:tr>
      <w:tr w:rsidR="00EF4718" w:rsidRPr="00AD27C7" w14:paraId="48D0AB10" w14:textId="77777777" w:rsidTr="00974651">
        <w:trPr>
          <w:trHeight w:val="454"/>
          <w:tblCellSpacing w:w="15" w:type="dxa"/>
        </w:trPr>
        <w:tc>
          <w:tcPr>
            <w:tcW w:w="4274" w:type="dxa"/>
            <w:shd w:val="clear" w:color="auto" w:fill="F2F2F2" w:themeFill="background1" w:themeFillShade="F2"/>
            <w:vAlign w:val="center"/>
            <w:hideMark/>
          </w:tcPr>
          <w:p w14:paraId="45CFBF22"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Version</w:t>
            </w:r>
          </w:p>
        </w:tc>
        <w:tc>
          <w:tcPr>
            <w:tcW w:w="4275" w:type="dxa"/>
            <w:shd w:val="clear" w:color="auto" w:fill="F2F2F2" w:themeFill="background1" w:themeFillShade="F2"/>
            <w:vAlign w:val="center"/>
            <w:hideMark/>
          </w:tcPr>
          <w:p w14:paraId="4DE4424F" w14:textId="2B29D5CD" w:rsidR="00EF4718" w:rsidRPr="00AD27C7" w:rsidRDefault="008C4C1C"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1</w:t>
            </w:r>
            <w:r w:rsidR="00EF4718" w:rsidRPr="00AD27C7">
              <w:rPr>
                <w:rFonts w:ascii="Poppins" w:eastAsia="Times New Roman" w:hAnsi="Poppins" w:cs="Poppins"/>
                <w:lang w:eastAsia="en-GB"/>
              </w:rPr>
              <w:t>.0</w:t>
            </w:r>
          </w:p>
        </w:tc>
      </w:tr>
      <w:tr w:rsidR="00EF4718" w:rsidRPr="00AD27C7" w14:paraId="665091B6" w14:textId="77777777" w:rsidTr="00974651">
        <w:trPr>
          <w:trHeight w:val="454"/>
          <w:tblCellSpacing w:w="15" w:type="dxa"/>
        </w:trPr>
        <w:tc>
          <w:tcPr>
            <w:tcW w:w="4274" w:type="dxa"/>
            <w:shd w:val="clear" w:color="auto" w:fill="F2F2F2" w:themeFill="background1" w:themeFillShade="F2"/>
            <w:vAlign w:val="center"/>
            <w:hideMark/>
          </w:tcPr>
          <w:p w14:paraId="083F60E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Author</w:t>
            </w:r>
          </w:p>
        </w:tc>
        <w:tc>
          <w:tcPr>
            <w:tcW w:w="4275" w:type="dxa"/>
            <w:shd w:val="clear" w:color="auto" w:fill="F2F2F2" w:themeFill="background1" w:themeFillShade="F2"/>
            <w:vAlign w:val="center"/>
            <w:hideMark/>
          </w:tcPr>
          <w:p w14:paraId="02753A7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[Trust to insert]</w:t>
            </w:r>
          </w:p>
        </w:tc>
      </w:tr>
      <w:tr w:rsidR="00EF4718" w:rsidRPr="00AD27C7" w14:paraId="4579891A" w14:textId="77777777" w:rsidTr="00974651">
        <w:trPr>
          <w:trHeight w:val="454"/>
          <w:tblCellSpacing w:w="15" w:type="dxa"/>
        </w:trPr>
        <w:tc>
          <w:tcPr>
            <w:tcW w:w="4274" w:type="dxa"/>
            <w:shd w:val="clear" w:color="auto" w:fill="F2F2F2" w:themeFill="background1" w:themeFillShade="F2"/>
            <w:vAlign w:val="center"/>
            <w:hideMark/>
          </w:tcPr>
          <w:p w14:paraId="3BF2F2F3"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Checked by</w:t>
            </w:r>
          </w:p>
        </w:tc>
        <w:tc>
          <w:tcPr>
            <w:tcW w:w="4275" w:type="dxa"/>
            <w:shd w:val="clear" w:color="auto" w:fill="F2F2F2" w:themeFill="background1" w:themeFillShade="F2"/>
            <w:vAlign w:val="center"/>
            <w:hideMark/>
          </w:tcPr>
          <w:p w14:paraId="725F1A1C"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w:t>
            </w:r>
          </w:p>
        </w:tc>
      </w:tr>
      <w:tr w:rsidR="00EF4718" w:rsidRPr="00AD27C7" w14:paraId="72DCD18E" w14:textId="77777777" w:rsidTr="00974651">
        <w:trPr>
          <w:trHeight w:val="454"/>
          <w:tblCellSpacing w:w="15" w:type="dxa"/>
        </w:trPr>
        <w:tc>
          <w:tcPr>
            <w:tcW w:w="4274" w:type="dxa"/>
            <w:shd w:val="clear" w:color="auto" w:fill="F2F2F2" w:themeFill="background1" w:themeFillShade="F2"/>
            <w:vAlign w:val="center"/>
            <w:hideMark/>
          </w:tcPr>
          <w:p w14:paraId="628D77B2"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Approved by</w:t>
            </w:r>
          </w:p>
        </w:tc>
        <w:tc>
          <w:tcPr>
            <w:tcW w:w="4275" w:type="dxa"/>
            <w:shd w:val="clear" w:color="auto" w:fill="F2F2F2" w:themeFill="background1" w:themeFillShade="F2"/>
            <w:vAlign w:val="center"/>
            <w:hideMark/>
          </w:tcPr>
          <w:p w14:paraId="6835CBEA"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Drugs &amp; Therapeutics Committee</w:t>
            </w:r>
          </w:p>
        </w:tc>
      </w:tr>
      <w:tr w:rsidR="00EF4718" w:rsidRPr="00AD27C7" w14:paraId="7707204D" w14:textId="77777777" w:rsidTr="00974651">
        <w:trPr>
          <w:trHeight w:val="454"/>
          <w:tblCellSpacing w:w="15" w:type="dxa"/>
        </w:trPr>
        <w:tc>
          <w:tcPr>
            <w:tcW w:w="4274" w:type="dxa"/>
            <w:shd w:val="clear" w:color="auto" w:fill="F2F2F2" w:themeFill="background1" w:themeFillShade="F2"/>
            <w:vAlign w:val="center"/>
            <w:hideMark/>
          </w:tcPr>
          <w:p w14:paraId="1C6036F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Ratified by</w:t>
            </w:r>
          </w:p>
        </w:tc>
        <w:tc>
          <w:tcPr>
            <w:tcW w:w="4275" w:type="dxa"/>
            <w:shd w:val="clear" w:color="auto" w:fill="F2F2F2" w:themeFill="background1" w:themeFillShade="F2"/>
            <w:vAlign w:val="center"/>
            <w:hideMark/>
          </w:tcPr>
          <w:p w14:paraId="3229574E"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 Committee]</w:t>
            </w:r>
          </w:p>
        </w:tc>
      </w:tr>
      <w:tr w:rsidR="00EF4718" w:rsidRPr="00AD27C7" w14:paraId="2815A02C" w14:textId="77777777" w:rsidTr="00974651">
        <w:trPr>
          <w:trHeight w:val="454"/>
          <w:tblCellSpacing w:w="15" w:type="dxa"/>
        </w:trPr>
        <w:tc>
          <w:tcPr>
            <w:tcW w:w="4274" w:type="dxa"/>
            <w:shd w:val="clear" w:color="auto" w:fill="F2F2F2" w:themeFill="background1" w:themeFillShade="F2"/>
            <w:vAlign w:val="center"/>
            <w:hideMark/>
          </w:tcPr>
          <w:p w14:paraId="676F296C"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Effective date</w:t>
            </w:r>
          </w:p>
        </w:tc>
        <w:tc>
          <w:tcPr>
            <w:tcW w:w="4275" w:type="dxa"/>
            <w:shd w:val="clear" w:color="auto" w:fill="F2F2F2" w:themeFill="background1" w:themeFillShade="F2"/>
            <w:vAlign w:val="center"/>
            <w:hideMark/>
          </w:tcPr>
          <w:p w14:paraId="2E951364"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w:t>
            </w:r>
          </w:p>
        </w:tc>
      </w:tr>
      <w:tr w:rsidR="00EF4718" w:rsidRPr="00AD27C7" w14:paraId="0C7746F9" w14:textId="77777777" w:rsidTr="00974651">
        <w:trPr>
          <w:trHeight w:val="454"/>
          <w:tblCellSpacing w:w="15" w:type="dxa"/>
        </w:trPr>
        <w:tc>
          <w:tcPr>
            <w:tcW w:w="4274" w:type="dxa"/>
            <w:shd w:val="clear" w:color="auto" w:fill="F2F2F2" w:themeFill="background1" w:themeFillShade="F2"/>
            <w:vAlign w:val="center"/>
            <w:hideMark/>
          </w:tcPr>
          <w:p w14:paraId="60AE7E5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Review date</w:t>
            </w:r>
          </w:p>
        </w:tc>
        <w:tc>
          <w:tcPr>
            <w:tcW w:w="4275" w:type="dxa"/>
            <w:shd w:val="clear" w:color="auto" w:fill="F2F2F2" w:themeFill="background1" w:themeFillShade="F2"/>
            <w:vAlign w:val="center"/>
            <w:hideMark/>
          </w:tcPr>
          <w:p w14:paraId="2131BEF3"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w:t>
            </w:r>
          </w:p>
        </w:tc>
      </w:tr>
    </w:tbl>
    <w:p w14:paraId="56EA7800" w14:textId="010BE0D6" w:rsidR="00EF4718" w:rsidRPr="00E42614" w:rsidRDefault="00EF4718" w:rsidP="004111A4">
      <w:pPr>
        <w:spacing w:after="120" w:line="240" w:lineRule="auto"/>
        <w:rPr>
          <w:rFonts w:ascii="Poppins" w:eastAsia="Times New Roman" w:hAnsi="Poppins" w:cs="Poppins"/>
          <w:sz w:val="21"/>
          <w:szCs w:val="21"/>
          <w:lang w:eastAsia="en-GB"/>
        </w:rPr>
      </w:pPr>
    </w:p>
    <w:p w14:paraId="256A55F5" w14:textId="77777777" w:rsidR="00D17318" w:rsidRPr="00E42614" w:rsidRDefault="00D17318" w:rsidP="004111A4">
      <w:pPr>
        <w:spacing w:after="120" w:line="240" w:lineRule="auto"/>
        <w:outlineLvl w:val="1"/>
        <w:rPr>
          <w:rFonts w:ascii="Poppins" w:eastAsia="Times New Roman" w:hAnsi="Poppins" w:cs="Poppins"/>
          <w:b/>
          <w:bCs/>
          <w:sz w:val="36"/>
          <w:szCs w:val="36"/>
          <w:lang w:eastAsia="en-GB"/>
        </w:rPr>
      </w:pPr>
    </w:p>
    <w:p w14:paraId="2D1E5E14" w14:textId="10D51F81" w:rsidR="00D17318" w:rsidRPr="00E42614" w:rsidRDefault="00D17318" w:rsidP="004111A4">
      <w:pPr>
        <w:spacing w:after="120" w:line="240" w:lineRule="auto"/>
        <w:rPr>
          <w:rFonts w:ascii="Poppins" w:eastAsia="Times New Roman" w:hAnsi="Poppins" w:cs="Poppins"/>
          <w:b/>
          <w:bCs/>
          <w:sz w:val="36"/>
          <w:szCs w:val="36"/>
          <w:lang w:eastAsia="en-GB"/>
        </w:rPr>
      </w:pPr>
    </w:p>
    <w:p w14:paraId="11BB7E65" w14:textId="77777777" w:rsidR="005C702D" w:rsidRPr="00E42614" w:rsidRDefault="005C702D">
      <w:pPr>
        <w:rPr>
          <w:rFonts w:ascii="Poppins" w:eastAsia="Times New Roman" w:hAnsi="Poppins" w:cs="Poppins"/>
          <w:b/>
          <w:bCs/>
          <w:sz w:val="36"/>
          <w:szCs w:val="36"/>
          <w:lang w:eastAsia="en-GB"/>
        </w:rPr>
      </w:pPr>
    </w:p>
    <w:p w14:paraId="6F7AE2F0" w14:textId="77777777" w:rsidR="005C702D" w:rsidRPr="00E42614" w:rsidRDefault="005C702D">
      <w:pPr>
        <w:rPr>
          <w:rFonts w:ascii="Poppins" w:eastAsia="Times New Roman" w:hAnsi="Poppins" w:cs="Poppins"/>
          <w:b/>
          <w:bCs/>
          <w:sz w:val="36"/>
          <w:szCs w:val="36"/>
          <w:lang w:eastAsia="en-GB"/>
        </w:rPr>
      </w:pPr>
      <w:r w:rsidRPr="00E42614">
        <w:rPr>
          <w:rFonts w:ascii="Poppins" w:eastAsia="Times New Roman" w:hAnsi="Poppins" w:cs="Poppins"/>
          <w:b/>
          <w:bCs/>
          <w:sz w:val="36"/>
          <w:szCs w:val="36"/>
          <w:lang w:eastAsia="en-GB"/>
        </w:rPr>
        <w:br w:type="page"/>
      </w:r>
    </w:p>
    <w:p w14:paraId="3D5541AE" w14:textId="77777777" w:rsidR="005C702D" w:rsidRPr="00E42614" w:rsidRDefault="005C702D" w:rsidP="002B5EEB">
      <w:pPr>
        <w:pStyle w:val="Heading1"/>
        <w:rPr>
          <w:lang w:eastAsia="en-GB"/>
        </w:rPr>
      </w:pPr>
      <w:bookmarkStart w:id="1" w:name="_Toc237332027"/>
      <w:r w:rsidRPr="00E42614">
        <w:rPr>
          <w:lang w:eastAsia="en-GB"/>
        </w:rPr>
        <w:lastRenderedPageBreak/>
        <w:t>Teplizumab infusion pathway flow chart</w:t>
      </w:r>
      <w:bookmarkEnd w:id="1"/>
    </w:p>
    <w:tbl>
      <w:tblPr>
        <w:tblW w:w="8787" w:type="dxa"/>
        <w:jc w:val="center"/>
        <w:tblBorders>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3118"/>
        <w:gridCol w:w="2551"/>
        <w:gridCol w:w="3118"/>
      </w:tblGrid>
      <w:tr w:rsidR="00F01252" w:rsidRPr="003652FE" w14:paraId="38CC0AD2" w14:textId="77777777" w:rsidTr="004B3FF6">
        <w:trPr>
          <w:trHeight w:val="20"/>
          <w:jc w:val="center"/>
        </w:trPr>
        <w:tc>
          <w:tcPr>
            <w:tcW w:w="3118" w:type="dxa"/>
            <w:shd w:val="clear" w:color="auto" w:fill="9FD8FF"/>
            <w:tcMar>
              <w:top w:w="38" w:type="dxa"/>
              <w:left w:w="46" w:type="dxa"/>
              <w:bottom w:w="38" w:type="dxa"/>
              <w:right w:w="46" w:type="dxa"/>
            </w:tcMar>
            <w:vAlign w:val="center"/>
          </w:tcPr>
          <w:p w14:paraId="1691E876"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1. Patient identified as Stage 2 T1D</w:t>
            </w:r>
          </w:p>
        </w:tc>
        <w:tc>
          <w:tcPr>
            <w:tcW w:w="2551" w:type="dxa"/>
            <w:shd w:val="clear" w:color="auto" w:fill="9FD8FF"/>
            <w:tcMar>
              <w:top w:w="38" w:type="dxa"/>
              <w:left w:w="46" w:type="dxa"/>
              <w:bottom w:w="38" w:type="dxa"/>
              <w:right w:w="46" w:type="dxa"/>
            </w:tcMar>
            <w:vAlign w:val="center"/>
          </w:tcPr>
          <w:p w14:paraId="04B6F368" w14:textId="0ED96E23"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Assessment</w:t>
            </w:r>
            <w:r w:rsidRPr="00974651">
              <w:rPr>
                <w:rFonts w:ascii="Poppins" w:hAnsi="Poppins" w:cs="Poppins"/>
                <w:b/>
                <w:color w:val="000000"/>
                <w:sz w:val="16"/>
                <w:szCs w:val="16"/>
              </w:rPr>
              <w:br/>
              <w:t>phase</w:t>
            </w:r>
          </w:p>
        </w:tc>
        <w:tc>
          <w:tcPr>
            <w:tcW w:w="3118" w:type="dxa"/>
            <w:shd w:val="clear" w:color="auto" w:fill="FFDCCD"/>
            <w:tcMar>
              <w:top w:w="38" w:type="dxa"/>
              <w:left w:w="46" w:type="dxa"/>
              <w:bottom w:w="38" w:type="dxa"/>
              <w:right w:w="46" w:type="dxa"/>
            </w:tcMar>
            <w:vAlign w:val="center"/>
          </w:tcPr>
          <w:p w14:paraId="79A48D42"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Delivery, follow-up and documentation</w:t>
            </w:r>
          </w:p>
        </w:tc>
      </w:tr>
      <w:tr w:rsidR="00F01252" w:rsidRPr="003652FE" w14:paraId="1E686741" w14:textId="77777777" w:rsidTr="00974651">
        <w:trPr>
          <w:trHeight w:val="20"/>
          <w:jc w:val="center"/>
        </w:trPr>
        <w:tc>
          <w:tcPr>
            <w:tcW w:w="3118" w:type="dxa"/>
            <w:tcMar>
              <w:top w:w="0" w:type="dxa"/>
              <w:left w:w="0" w:type="dxa"/>
              <w:bottom w:w="0" w:type="dxa"/>
              <w:right w:w="0" w:type="dxa"/>
            </w:tcMar>
            <w:vAlign w:val="center"/>
          </w:tcPr>
          <w:p w14:paraId="06C7FF39"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5263CF9A"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c>
          <w:tcPr>
            <w:tcW w:w="3118" w:type="dxa"/>
            <w:tcMar>
              <w:top w:w="0" w:type="dxa"/>
              <w:left w:w="0" w:type="dxa"/>
              <w:bottom w:w="0" w:type="dxa"/>
              <w:right w:w="0" w:type="dxa"/>
            </w:tcMar>
            <w:vAlign w:val="center"/>
          </w:tcPr>
          <w:p w14:paraId="5A202641"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r>
      <w:tr w:rsidR="00F01252" w:rsidRPr="003652FE" w14:paraId="60F15726"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76538225"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2. Clinician checks inclusion and exclusion criteria</w:t>
            </w:r>
          </w:p>
          <w:p w14:paraId="264DE1B6" w14:textId="34785663"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Eligibility_assessment" w:history="1">
              <w:r w:rsidRPr="00974651">
                <w:rPr>
                  <w:rStyle w:val="Hyperlink"/>
                  <w:rFonts w:ascii="Poppins" w:hAnsi="Poppins" w:cs="Poppins"/>
                  <w:bCs/>
                  <w:sz w:val="16"/>
                  <w:szCs w:val="16"/>
                </w:rPr>
                <w:t>(see eligibility assessment)</w:t>
              </w:r>
            </w:hyperlink>
          </w:p>
        </w:tc>
        <w:tc>
          <w:tcPr>
            <w:tcW w:w="2551" w:type="dxa"/>
            <w:shd w:val="clear" w:color="auto" w:fill="F2F2F2" w:themeFill="background1" w:themeFillShade="F2"/>
            <w:tcMar>
              <w:top w:w="38" w:type="dxa"/>
              <w:left w:w="46" w:type="dxa"/>
              <w:bottom w:w="38" w:type="dxa"/>
              <w:right w:w="46" w:type="dxa"/>
            </w:tcMar>
            <w:vAlign w:val="center"/>
          </w:tcPr>
          <w:p w14:paraId="5B3D5BBB" w14:textId="0C4673D2"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If patient meets any exclusion criteria</w:t>
            </w:r>
            <w:r w:rsidRPr="00974651">
              <w:rPr>
                <w:rFonts w:ascii="Poppins" w:hAnsi="Poppins" w:cs="Poppins"/>
                <w:b/>
                <w:color w:val="000000"/>
                <w:sz w:val="16"/>
                <w:szCs w:val="16"/>
              </w:rPr>
              <w:br/>
              <w:t>DO NOT OFFER INFUSION</w:t>
            </w:r>
          </w:p>
        </w:tc>
        <w:tc>
          <w:tcPr>
            <w:tcW w:w="3118" w:type="dxa"/>
            <w:shd w:val="clear" w:color="auto" w:fill="FFDCCD"/>
            <w:tcMar>
              <w:top w:w="38" w:type="dxa"/>
              <w:left w:w="46" w:type="dxa"/>
              <w:bottom w:w="38" w:type="dxa"/>
              <w:right w:w="46" w:type="dxa"/>
            </w:tcMar>
            <w:vAlign w:val="center"/>
          </w:tcPr>
          <w:p w14:paraId="23360BA8"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13. Ensure all documentation is completed</w:t>
            </w:r>
          </w:p>
          <w:p w14:paraId="5BF4FF41" w14:textId="606AA8FE"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Governance" w:history="1">
              <w:r w:rsidRPr="00974651">
                <w:rPr>
                  <w:rStyle w:val="Hyperlink"/>
                  <w:rFonts w:ascii="Poppins" w:hAnsi="Poppins" w:cs="Poppins"/>
                  <w:bCs/>
                  <w:sz w:val="16"/>
                  <w:szCs w:val="16"/>
                </w:rPr>
                <w:t>(see governance)</w:t>
              </w:r>
            </w:hyperlink>
          </w:p>
        </w:tc>
      </w:tr>
      <w:tr w:rsidR="00F01252" w:rsidRPr="003652FE" w14:paraId="43725B90" w14:textId="77777777" w:rsidTr="00974651">
        <w:trPr>
          <w:trHeight w:val="20"/>
          <w:jc w:val="center"/>
        </w:trPr>
        <w:tc>
          <w:tcPr>
            <w:tcW w:w="3118" w:type="dxa"/>
            <w:tcMar>
              <w:top w:w="0" w:type="dxa"/>
              <w:left w:w="0" w:type="dxa"/>
              <w:bottom w:w="0" w:type="dxa"/>
              <w:right w:w="0" w:type="dxa"/>
            </w:tcMar>
            <w:vAlign w:val="center"/>
          </w:tcPr>
          <w:p w14:paraId="25A93448"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3D55FD87"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26EBE9BA"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60C289C4"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152F78BC"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3. Patient meets inclusion criteria</w:t>
            </w:r>
          </w:p>
        </w:tc>
        <w:tc>
          <w:tcPr>
            <w:tcW w:w="2551" w:type="dxa"/>
            <w:shd w:val="clear" w:color="auto" w:fill="FFFFFF"/>
            <w:tcMar>
              <w:top w:w="0" w:type="dxa"/>
              <w:left w:w="0" w:type="dxa"/>
              <w:bottom w:w="0" w:type="dxa"/>
              <w:right w:w="0" w:type="dxa"/>
            </w:tcMar>
            <w:vAlign w:val="center"/>
          </w:tcPr>
          <w:p w14:paraId="406233F2"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c>
          <w:tcPr>
            <w:tcW w:w="3118" w:type="dxa"/>
            <w:shd w:val="clear" w:color="auto" w:fill="FFDCCD"/>
            <w:tcMar>
              <w:top w:w="38" w:type="dxa"/>
              <w:left w:w="46" w:type="dxa"/>
              <w:bottom w:w="38" w:type="dxa"/>
              <w:right w:w="46" w:type="dxa"/>
            </w:tcMar>
            <w:vAlign w:val="center"/>
          </w:tcPr>
          <w:p w14:paraId="1E7C0129"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12. After final infusion, arrange follow-up appointments for monitoring and education, including progression to Stage 3 T1D</w:t>
            </w:r>
          </w:p>
          <w:p w14:paraId="126FA967" w14:textId="64D374B0"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Follow-up_after_treatment" w:history="1">
              <w:r w:rsidRPr="00974651">
                <w:rPr>
                  <w:rStyle w:val="Hyperlink"/>
                  <w:rFonts w:ascii="Poppins" w:hAnsi="Poppins" w:cs="Poppins"/>
                  <w:bCs/>
                  <w:sz w:val="16"/>
                  <w:szCs w:val="16"/>
                </w:rPr>
                <w:t>(see follow-up after treatment)</w:t>
              </w:r>
            </w:hyperlink>
          </w:p>
        </w:tc>
      </w:tr>
      <w:tr w:rsidR="00F01252" w:rsidRPr="003652FE" w14:paraId="61E278AB" w14:textId="77777777" w:rsidTr="00974651">
        <w:trPr>
          <w:trHeight w:val="20"/>
          <w:jc w:val="center"/>
        </w:trPr>
        <w:tc>
          <w:tcPr>
            <w:tcW w:w="3118" w:type="dxa"/>
            <w:tcMar>
              <w:top w:w="0" w:type="dxa"/>
              <w:left w:w="0" w:type="dxa"/>
              <w:bottom w:w="0" w:type="dxa"/>
              <w:right w:w="0" w:type="dxa"/>
            </w:tcMar>
            <w:vAlign w:val="center"/>
          </w:tcPr>
          <w:p w14:paraId="222C0AA2"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0EA0A7F2"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70A76BE1"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7107EF48"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44F872BF"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4. Baseline assessment undertaken</w:t>
            </w:r>
          </w:p>
          <w:p w14:paraId="483C218C" w14:textId="7244FEB4"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Baseline_assessment" w:history="1">
              <w:r w:rsidRPr="00974651">
                <w:rPr>
                  <w:rStyle w:val="Hyperlink"/>
                  <w:rFonts w:ascii="Poppins" w:hAnsi="Poppins" w:cs="Poppins"/>
                  <w:bCs/>
                  <w:sz w:val="16"/>
                  <w:szCs w:val="16"/>
                </w:rPr>
                <w:t>(see baseline assessment)</w:t>
              </w:r>
            </w:hyperlink>
          </w:p>
        </w:tc>
        <w:tc>
          <w:tcPr>
            <w:tcW w:w="2551" w:type="dxa"/>
            <w:shd w:val="clear" w:color="auto" w:fill="F2F2F2" w:themeFill="background1" w:themeFillShade="F2"/>
            <w:tcMar>
              <w:top w:w="38" w:type="dxa"/>
              <w:left w:w="46" w:type="dxa"/>
              <w:bottom w:w="38" w:type="dxa"/>
              <w:right w:w="46" w:type="dxa"/>
            </w:tcMar>
            <w:vAlign w:val="center"/>
          </w:tcPr>
          <w:p w14:paraId="34014E48" w14:textId="3AAB6D62"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If baseline requirements are not met</w:t>
            </w:r>
            <w:r w:rsidRPr="00974651">
              <w:rPr>
                <w:rFonts w:ascii="Poppins" w:hAnsi="Poppins" w:cs="Poppins"/>
                <w:b/>
                <w:color w:val="000000"/>
                <w:sz w:val="16"/>
                <w:szCs w:val="16"/>
              </w:rPr>
              <w:br/>
            </w:r>
            <w:r w:rsidRPr="00974651">
              <w:rPr>
                <w:rFonts w:ascii="Poppins" w:hAnsi="Poppins" w:cs="Poppins"/>
                <w:b/>
                <w:color w:val="000000"/>
                <w:sz w:val="16"/>
                <w:szCs w:val="16"/>
              </w:rPr>
              <w:br/>
              <w:t>DO NOT OFFER INFUSION</w:t>
            </w:r>
          </w:p>
        </w:tc>
        <w:tc>
          <w:tcPr>
            <w:tcW w:w="3118" w:type="dxa"/>
            <w:shd w:val="clear" w:color="auto" w:fill="FFDCCD"/>
            <w:tcMar>
              <w:top w:w="38" w:type="dxa"/>
              <w:left w:w="46" w:type="dxa"/>
              <w:bottom w:w="38" w:type="dxa"/>
              <w:right w:w="46" w:type="dxa"/>
            </w:tcMar>
            <w:vAlign w:val="center"/>
          </w:tcPr>
          <w:p w14:paraId="5C3ADABE"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11. Infusion team monitors during treatment and performs post-infusion observations</w:t>
            </w:r>
          </w:p>
          <w:p w14:paraId="3124EF95" w14:textId="41C461EC"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Monitoring_during_treatment" w:history="1">
              <w:r w:rsidRPr="00974651">
                <w:rPr>
                  <w:rStyle w:val="Hyperlink"/>
                  <w:rFonts w:ascii="Poppins" w:hAnsi="Poppins" w:cs="Poppins"/>
                  <w:bCs/>
                  <w:sz w:val="16"/>
                  <w:szCs w:val="16"/>
                </w:rPr>
                <w:t>(see monitoring during treatment)</w:t>
              </w:r>
            </w:hyperlink>
          </w:p>
        </w:tc>
      </w:tr>
      <w:tr w:rsidR="00F01252" w:rsidRPr="003652FE" w14:paraId="4B5DED15" w14:textId="77777777" w:rsidTr="00974651">
        <w:trPr>
          <w:trHeight w:val="20"/>
          <w:jc w:val="center"/>
        </w:trPr>
        <w:tc>
          <w:tcPr>
            <w:tcW w:w="3118" w:type="dxa"/>
            <w:tcMar>
              <w:top w:w="0" w:type="dxa"/>
              <w:left w:w="0" w:type="dxa"/>
              <w:bottom w:w="0" w:type="dxa"/>
              <w:right w:w="0" w:type="dxa"/>
            </w:tcMar>
            <w:vAlign w:val="center"/>
          </w:tcPr>
          <w:p w14:paraId="58739A49"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2E2AD055"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3B8729DE"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1707AA7C"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6D5D2ABF"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5. Baseline assessment requirements met</w:t>
            </w:r>
          </w:p>
        </w:tc>
        <w:tc>
          <w:tcPr>
            <w:tcW w:w="2551" w:type="dxa"/>
            <w:shd w:val="clear" w:color="auto" w:fill="FFFFFF"/>
            <w:tcMar>
              <w:top w:w="0" w:type="dxa"/>
              <w:left w:w="0" w:type="dxa"/>
              <w:bottom w:w="0" w:type="dxa"/>
              <w:right w:w="0" w:type="dxa"/>
            </w:tcMar>
            <w:vAlign w:val="center"/>
          </w:tcPr>
          <w:p w14:paraId="23A24891"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c>
          <w:tcPr>
            <w:tcW w:w="3118" w:type="dxa"/>
            <w:shd w:val="clear" w:color="auto" w:fill="FFDCCD"/>
            <w:tcMar>
              <w:top w:w="38" w:type="dxa"/>
              <w:left w:w="46" w:type="dxa"/>
              <w:bottom w:w="38" w:type="dxa"/>
              <w:right w:w="46" w:type="dxa"/>
            </w:tcMar>
            <w:vAlign w:val="center"/>
          </w:tcPr>
          <w:p w14:paraId="7F83A313" w14:textId="1CF7FF85"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10. Infusion team performs pre-infusion checks and administers 14 infusion in line with SOP requirements</w:t>
            </w:r>
          </w:p>
          <w:p w14:paraId="23C6A72A" w14:textId="78DA0877"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Administration_of_teplizumab" w:history="1">
              <w:r w:rsidRPr="00974651">
                <w:rPr>
                  <w:rStyle w:val="Hyperlink"/>
                  <w:rFonts w:ascii="Poppins" w:hAnsi="Poppins" w:cs="Poppins"/>
                  <w:bCs/>
                  <w:sz w:val="16"/>
                  <w:szCs w:val="16"/>
                </w:rPr>
                <w:t>(see administration of teplizumab)</w:t>
              </w:r>
            </w:hyperlink>
          </w:p>
        </w:tc>
      </w:tr>
      <w:tr w:rsidR="00F01252" w:rsidRPr="003652FE" w14:paraId="3DE0C51E" w14:textId="77777777" w:rsidTr="00974651">
        <w:trPr>
          <w:trHeight w:val="20"/>
          <w:jc w:val="center"/>
        </w:trPr>
        <w:tc>
          <w:tcPr>
            <w:tcW w:w="3118" w:type="dxa"/>
            <w:tcMar>
              <w:top w:w="0" w:type="dxa"/>
              <w:left w:w="0" w:type="dxa"/>
              <w:bottom w:w="0" w:type="dxa"/>
              <w:right w:w="0" w:type="dxa"/>
            </w:tcMar>
            <w:vAlign w:val="center"/>
          </w:tcPr>
          <w:p w14:paraId="1C2421AE"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1CDD8E4D"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7AA8EEDE"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2513AACA"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4386BA07"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6. Clinician conducts shared decision-making consultation</w:t>
            </w:r>
          </w:p>
          <w:p w14:paraId="72F6DD26" w14:textId="045A0127"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Shared_decision-making" w:history="1">
              <w:r w:rsidRPr="00974651">
                <w:rPr>
                  <w:rStyle w:val="Hyperlink"/>
                  <w:rFonts w:ascii="Poppins" w:hAnsi="Poppins" w:cs="Poppins"/>
                  <w:bCs/>
                  <w:sz w:val="16"/>
                  <w:szCs w:val="16"/>
                </w:rPr>
                <w:t>(see shared decision-making)</w:t>
              </w:r>
            </w:hyperlink>
          </w:p>
        </w:tc>
        <w:tc>
          <w:tcPr>
            <w:tcW w:w="2551" w:type="dxa"/>
            <w:shd w:val="clear" w:color="auto" w:fill="F2F2F2" w:themeFill="background1" w:themeFillShade="F2"/>
            <w:tcMar>
              <w:top w:w="38" w:type="dxa"/>
              <w:left w:w="46" w:type="dxa"/>
              <w:bottom w:w="38" w:type="dxa"/>
              <w:right w:w="46" w:type="dxa"/>
            </w:tcMar>
            <w:vAlign w:val="center"/>
          </w:tcPr>
          <w:p w14:paraId="1B101DCA" w14:textId="6F3080ED"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If patient is unsuitable for, or does not consent to, treatment</w:t>
            </w:r>
            <w:r w:rsidRPr="00974651">
              <w:rPr>
                <w:rFonts w:ascii="Poppins" w:hAnsi="Poppins" w:cs="Poppins"/>
                <w:b/>
                <w:color w:val="000000"/>
                <w:sz w:val="16"/>
                <w:szCs w:val="16"/>
              </w:rPr>
              <w:br/>
            </w:r>
            <w:r w:rsidRPr="00974651">
              <w:rPr>
                <w:rFonts w:ascii="Poppins" w:hAnsi="Poppins" w:cs="Poppins"/>
                <w:b/>
                <w:color w:val="000000"/>
                <w:sz w:val="16"/>
                <w:szCs w:val="16"/>
              </w:rPr>
              <w:br/>
              <w:t>DO NOT OFFER INFUSION</w:t>
            </w:r>
          </w:p>
        </w:tc>
        <w:tc>
          <w:tcPr>
            <w:tcW w:w="3118" w:type="dxa"/>
            <w:shd w:val="clear" w:color="auto" w:fill="FFDCCD"/>
            <w:tcMar>
              <w:top w:w="38" w:type="dxa"/>
              <w:left w:w="46" w:type="dxa"/>
              <w:bottom w:w="38" w:type="dxa"/>
              <w:right w:w="46" w:type="dxa"/>
            </w:tcMar>
            <w:vAlign w:val="center"/>
          </w:tcPr>
          <w:p w14:paraId="4E9E0B98"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9. Clinician prescribes teplizumab and pre-medications</w:t>
            </w:r>
          </w:p>
          <w:p w14:paraId="545391F8" w14:textId="26E7F885"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Prescribing_and_supply" w:history="1">
              <w:r w:rsidRPr="00974651">
                <w:rPr>
                  <w:rStyle w:val="Hyperlink"/>
                  <w:rFonts w:ascii="Poppins" w:hAnsi="Poppins" w:cs="Poppins"/>
                  <w:bCs/>
                  <w:sz w:val="16"/>
                  <w:szCs w:val="16"/>
                </w:rPr>
                <w:t>(see prescribing and supply)</w:t>
              </w:r>
            </w:hyperlink>
          </w:p>
        </w:tc>
      </w:tr>
      <w:tr w:rsidR="00F01252" w:rsidRPr="003652FE" w14:paraId="557D41FA" w14:textId="77777777" w:rsidTr="00974651">
        <w:trPr>
          <w:trHeight w:val="20"/>
          <w:jc w:val="center"/>
        </w:trPr>
        <w:tc>
          <w:tcPr>
            <w:tcW w:w="3118" w:type="dxa"/>
            <w:tcMar>
              <w:top w:w="0" w:type="dxa"/>
              <w:left w:w="0" w:type="dxa"/>
              <w:bottom w:w="0" w:type="dxa"/>
              <w:right w:w="0" w:type="dxa"/>
            </w:tcMar>
            <w:vAlign w:val="center"/>
          </w:tcPr>
          <w:p w14:paraId="7E8BDD19" w14:textId="77777777" w:rsidR="00F01252" w:rsidRPr="00F45610" w:rsidRDefault="00F01252" w:rsidP="00F45610">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tcPr>
          <w:p w14:paraId="6C55B7B7" w14:textId="266859FE" w:rsidR="00F01252" w:rsidRPr="00F45610" w:rsidRDefault="00F01252" w:rsidP="00F45610">
            <w:pPr>
              <w:spacing w:beforeLines="30" w:before="72" w:afterLines="30" w:after="72" w:line="240" w:lineRule="auto"/>
              <w:ind w:left="113" w:right="113"/>
              <w:rPr>
                <w:rFonts w:ascii="Times New Roman" w:hAnsi="Times New Roman" w:cs="Times New Roman"/>
                <w:b/>
                <w:color w:val="000000"/>
              </w:rPr>
            </w:pPr>
          </w:p>
        </w:tc>
        <w:tc>
          <w:tcPr>
            <w:tcW w:w="3118" w:type="dxa"/>
            <w:tcMar>
              <w:top w:w="0" w:type="dxa"/>
              <w:left w:w="0" w:type="dxa"/>
              <w:bottom w:w="0" w:type="dxa"/>
              <w:right w:w="0" w:type="dxa"/>
            </w:tcMar>
            <w:vAlign w:val="center"/>
          </w:tcPr>
          <w:p w14:paraId="2F75CE6F" w14:textId="77777777" w:rsidR="00F01252" w:rsidRPr="00F45610" w:rsidRDefault="00F01252" w:rsidP="00F45610">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76FB6A18" w14:textId="77777777" w:rsidTr="004B3FF6">
        <w:trPr>
          <w:trHeight w:val="20"/>
          <w:jc w:val="center"/>
        </w:trPr>
        <w:tc>
          <w:tcPr>
            <w:tcW w:w="3118" w:type="dxa"/>
            <w:shd w:val="clear" w:color="auto" w:fill="9FD8FF"/>
            <w:tcMar>
              <w:top w:w="38" w:type="dxa"/>
              <w:left w:w="46" w:type="dxa"/>
              <w:bottom w:w="38" w:type="dxa"/>
              <w:right w:w="46" w:type="dxa"/>
            </w:tcMar>
            <w:vAlign w:val="center"/>
          </w:tcPr>
          <w:p w14:paraId="415902DD" w14:textId="77777777" w:rsidR="00F01252" w:rsidRPr="00974651" w:rsidRDefault="00F01252" w:rsidP="00F01252">
            <w:pPr>
              <w:spacing w:beforeLines="30" w:before="72" w:afterLines="30" w:after="72" w:line="240" w:lineRule="auto"/>
              <w:jc w:val="center"/>
              <w:rPr>
                <w:rFonts w:ascii="Poppins" w:hAnsi="Poppins" w:cs="Poppins"/>
                <w:sz w:val="16"/>
                <w:szCs w:val="16"/>
              </w:rPr>
            </w:pPr>
            <w:r w:rsidRPr="00974651">
              <w:rPr>
                <w:rFonts w:ascii="Poppins" w:hAnsi="Poppins" w:cs="Poppins"/>
                <w:b/>
                <w:color w:val="000000"/>
                <w:sz w:val="16"/>
                <w:szCs w:val="16"/>
              </w:rPr>
              <w:t>7. Patient consents to, and is suitable for, infusion</w:t>
            </w:r>
          </w:p>
        </w:tc>
        <w:tc>
          <w:tcPr>
            <w:tcW w:w="2551" w:type="dxa"/>
            <w:shd w:val="clear" w:color="auto" w:fill="FFFFFF"/>
            <w:tcMar>
              <w:top w:w="0" w:type="dxa"/>
              <w:left w:w="0" w:type="dxa"/>
              <w:bottom w:w="0" w:type="dxa"/>
              <w:right w:w="0" w:type="dxa"/>
            </w:tcMar>
          </w:tcPr>
          <w:p w14:paraId="520AFA9F" w14:textId="0C512C89" w:rsidR="00F01252" w:rsidRPr="00974651" w:rsidRDefault="003652FE" w:rsidP="00F01252">
            <w:pPr>
              <w:spacing w:beforeLines="30" w:before="72" w:afterLines="30" w:after="72" w:line="240" w:lineRule="auto"/>
              <w:jc w:val="center"/>
              <w:rPr>
                <w:rFonts w:ascii="Poppins" w:hAnsi="Poppins" w:cs="Poppins"/>
                <w:sz w:val="16"/>
                <w:szCs w:val="16"/>
              </w:rPr>
            </w:pPr>
            <w:r w:rsidRPr="00974651">
              <w:rPr>
                <w:rFonts w:ascii="Poppins" w:hAnsi="Poppins" w:cs="Poppins"/>
                <w:noProof/>
                <w:sz w:val="16"/>
                <w:szCs w:val="16"/>
              </w:rPr>
              <mc:AlternateContent>
                <mc:Choice Requires="wps">
                  <w:drawing>
                    <wp:anchor distT="0" distB="0" distL="114300" distR="114300" simplePos="0" relativeHeight="251724800" behindDoc="0" locked="0" layoutInCell="1" allowOverlap="1" wp14:anchorId="26220CFC" wp14:editId="2EAE077B">
                      <wp:simplePos x="0" y="0"/>
                      <wp:positionH relativeFrom="column">
                        <wp:posOffset>710378</wp:posOffset>
                      </wp:positionH>
                      <wp:positionV relativeFrom="paragraph">
                        <wp:posOffset>269875</wp:posOffset>
                      </wp:positionV>
                      <wp:extent cx="264459" cy="6824"/>
                      <wp:effectExtent l="0" t="76200" r="2540" b="107950"/>
                      <wp:wrapNone/>
                      <wp:docPr id="253678329" name="Straight Arrow Connector 2"/>
                      <wp:cNvGraphicFramePr/>
                      <a:graphic xmlns:a="http://schemas.openxmlformats.org/drawingml/2006/main">
                        <a:graphicData uri="http://schemas.microsoft.com/office/word/2010/wordprocessingShape">
                          <wps:wsp>
                            <wps:cNvCnPr/>
                            <wps:spPr>
                              <a:xfrm>
                                <a:off x="0" y="0"/>
                                <a:ext cx="264459" cy="6824"/>
                              </a:xfrm>
                              <a:prstGeom prst="straightConnector1">
                                <a:avLst/>
                              </a:prstGeom>
                              <a:ln w="3175">
                                <a:solidFill>
                                  <a:schemeClr val="tx1"/>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728ACB2" id="_x0000_t32" coordsize="21600,21600" o:spt="32" o:oned="t" path="m,l21600,21600e" filled="f">
                      <v:path arrowok="t" fillok="f" o:connecttype="none"/>
                      <o:lock v:ext="edit" shapetype="t"/>
                    </v:shapetype>
                    <v:shape id="Straight Arrow Connector 2" o:spid="_x0000_s1026" type="#_x0000_t32" style="position:absolute;margin-left:55.95pt;margin-top:21.25pt;width:20.8pt;height:.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" strokecolor="black [3213]" strokeweight=".25pt">
                      <v:stroke endarrow="open"/>
                    </v:shape>
                  </w:pict>
                </mc:Fallback>
              </mc:AlternateContent>
            </w:r>
          </w:p>
        </w:tc>
        <w:tc>
          <w:tcPr>
            <w:tcW w:w="3118" w:type="dxa"/>
            <w:shd w:val="clear" w:color="auto" w:fill="FFDCCD"/>
            <w:tcMar>
              <w:top w:w="38" w:type="dxa"/>
              <w:left w:w="46" w:type="dxa"/>
              <w:bottom w:w="38" w:type="dxa"/>
              <w:right w:w="46" w:type="dxa"/>
            </w:tcMar>
            <w:vAlign w:val="center"/>
          </w:tcPr>
          <w:p w14:paraId="0A3D914A" w14:textId="77777777" w:rsidR="00F01252" w:rsidRPr="00974651" w:rsidRDefault="00F01252" w:rsidP="00F01252">
            <w:pPr>
              <w:spacing w:beforeLines="30" w:before="72" w:afterLines="30" w:after="72" w:line="240" w:lineRule="auto"/>
              <w:jc w:val="center"/>
              <w:rPr>
                <w:rFonts w:ascii="Poppins" w:hAnsi="Poppins" w:cs="Poppins"/>
                <w:sz w:val="16"/>
                <w:szCs w:val="16"/>
              </w:rPr>
            </w:pPr>
            <w:r w:rsidRPr="00974651">
              <w:rPr>
                <w:rFonts w:ascii="Poppins" w:hAnsi="Poppins" w:cs="Poppins"/>
                <w:b/>
                <w:color w:val="000000"/>
                <w:sz w:val="16"/>
                <w:szCs w:val="16"/>
              </w:rPr>
              <w:t>8. Clinician notifies pharmacy and infusion team to arrange start date and pre-infusion checks</w:t>
            </w:r>
          </w:p>
        </w:tc>
      </w:tr>
    </w:tbl>
    <w:p w14:paraId="7C0A8504" w14:textId="3F75D5DB" w:rsidR="00EF4718" w:rsidRPr="003652FE" w:rsidRDefault="004111A4" w:rsidP="00956781">
      <w:pPr>
        <w:pStyle w:val="Heading1"/>
        <w:spacing w:before="120" w:after="120"/>
        <w:rPr>
          <w:lang w:eastAsia="en-GB"/>
        </w:rPr>
      </w:pPr>
      <w:r w:rsidRPr="00E42614">
        <w:rPr>
          <w:rFonts w:eastAsia="Times New Roman" w:cs="Poppins"/>
          <w:szCs w:val="36"/>
          <w:lang w:eastAsia="en-GB"/>
        </w:rPr>
        <w:br w:type="page"/>
      </w:r>
      <w:bookmarkStart w:id="2" w:name="_Toc237332028"/>
      <w:r w:rsidR="00EF4718" w:rsidRPr="00E42614">
        <w:rPr>
          <w:lang w:eastAsia="en-GB"/>
        </w:rPr>
        <w:lastRenderedPageBreak/>
        <w:t>Purpose</w:t>
      </w:r>
      <w:bookmarkEnd w:id="2"/>
    </w:p>
    <w:p w14:paraId="399B98F4" w14:textId="2DE9CBBA" w:rsidR="00D6565B" w:rsidRPr="00E42614" w:rsidRDefault="00D6565B" w:rsidP="0095678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To provide a standardised NHS process for:</w:t>
      </w:r>
      <w:r w:rsidR="004B3FF6" w:rsidRPr="004B3FF6">
        <w:rPr>
          <w:noProof/>
        </w:rPr>
        <w:t xml:space="preserve"> </w:t>
      </w:r>
    </w:p>
    <w:p w14:paraId="214798D1" w14:textId="4E6AAD88" w:rsidR="00D6565B" w:rsidRPr="00956781" w:rsidRDefault="004C4993"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Assigning roles and responsi</w:t>
      </w:r>
      <w:r w:rsidR="006F632F" w:rsidRPr="00956781">
        <w:rPr>
          <w:rFonts w:ascii="Poppins" w:eastAsia="Times New Roman" w:hAnsi="Poppins" w:cs="Poppins"/>
          <w:sz w:val="21"/>
          <w:szCs w:val="21"/>
          <w:lang w:eastAsia="en-GB"/>
        </w:rPr>
        <w:t>bi</w:t>
      </w:r>
      <w:r w:rsidRPr="00956781">
        <w:rPr>
          <w:rFonts w:ascii="Poppins" w:eastAsia="Times New Roman" w:hAnsi="Poppins" w:cs="Poppins"/>
          <w:sz w:val="21"/>
          <w:szCs w:val="21"/>
          <w:lang w:eastAsia="en-GB"/>
        </w:rPr>
        <w:t xml:space="preserve">lities </w:t>
      </w:r>
      <w:r w:rsidR="006F632F" w:rsidRPr="00956781">
        <w:rPr>
          <w:rFonts w:ascii="Poppins" w:eastAsia="Times New Roman" w:hAnsi="Poppins" w:cs="Poppins"/>
          <w:sz w:val="21"/>
          <w:szCs w:val="21"/>
          <w:lang w:eastAsia="en-GB"/>
        </w:rPr>
        <w:t xml:space="preserve">for </w:t>
      </w:r>
      <w:r w:rsidR="00487F85" w:rsidRPr="00956781">
        <w:rPr>
          <w:rFonts w:ascii="Poppins" w:eastAsia="Times New Roman" w:hAnsi="Poppins" w:cs="Poppins"/>
          <w:sz w:val="21"/>
          <w:szCs w:val="21"/>
          <w:lang w:eastAsia="en-GB"/>
        </w:rPr>
        <w:t>the effective</w:t>
      </w:r>
      <w:r w:rsidR="006F632F" w:rsidRPr="00956781">
        <w:rPr>
          <w:rFonts w:ascii="Poppins" w:eastAsia="Times New Roman" w:hAnsi="Poppins" w:cs="Poppins"/>
          <w:sz w:val="21"/>
          <w:szCs w:val="21"/>
          <w:lang w:eastAsia="en-GB"/>
        </w:rPr>
        <w:t xml:space="preserve"> delivery of teplizumab infusions</w:t>
      </w:r>
      <w:r w:rsidR="00E313C9" w:rsidRPr="00956781">
        <w:rPr>
          <w:rFonts w:ascii="Poppins" w:eastAsia="Times New Roman" w:hAnsi="Poppins" w:cs="Poppins"/>
          <w:sz w:val="21"/>
          <w:szCs w:val="21"/>
          <w:lang w:eastAsia="en-GB"/>
        </w:rPr>
        <w:t xml:space="preserve"> </w:t>
      </w:r>
    </w:p>
    <w:p w14:paraId="52BE4B0A" w14:textId="1BDEA995"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 xml:space="preserve">Assessment of </w:t>
      </w:r>
      <w:r w:rsidR="006F632F" w:rsidRPr="00956781">
        <w:rPr>
          <w:rFonts w:ascii="Poppins" w:eastAsia="Times New Roman" w:hAnsi="Poppins" w:cs="Poppins"/>
          <w:sz w:val="21"/>
          <w:szCs w:val="21"/>
          <w:lang w:eastAsia="en-GB"/>
        </w:rPr>
        <w:t xml:space="preserve">patient </w:t>
      </w:r>
      <w:r w:rsidRPr="00956781">
        <w:rPr>
          <w:rFonts w:ascii="Poppins" w:eastAsia="Times New Roman" w:hAnsi="Poppins" w:cs="Poppins"/>
          <w:sz w:val="21"/>
          <w:szCs w:val="21"/>
          <w:lang w:eastAsia="en-GB"/>
        </w:rPr>
        <w:t xml:space="preserve">eligibility for </w:t>
      </w:r>
      <w:r w:rsidR="005E0B6A" w:rsidRPr="00956781">
        <w:rPr>
          <w:rFonts w:ascii="Poppins" w:eastAsia="Times New Roman" w:hAnsi="Poppins" w:cs="Poppins"/>
          <w:sz w:val="21"/>
          <w:szCs w:val="21"/>
          <w:lang w:eastAsia="en-GB"/>
        </w:rPr>
        <w:t>t</w:t>
      </w:r>
      <w:r w:rsidRPr="00956781">
        <w:rPr>
          <w:rFonts w:ascii="Poppins" w:eastAsia="Times New Roman" w:hAnsi="Poppins" w:cs="Poppins"/>
          <w:sz w:val="21"/>
          <w:szCs w:val="21"/>
          <w:lang w:eastAsia="en-GB"/>
        </w:rPr>
        <w:t xml:space="preserve">eplizumab </w:t>
      </w:r>
    </w:p>
    <w:p w14:paraId="6951928D" w14:textId="77777777"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Shared decision-making and informed consent</w:t>
      </w:r>
    </w:p>
    <w:p w14:paraId="797015D8" w14:textId="48CB05F7" w:rsidR="00D6565B" w:rsidRPr="00956781" w:rsidRDefault="00E313C9"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A</w:t>
      </w:r>
      <w:r w:rsidR="00D6565B" w:rsidRPr="00956781">
        <w:rPr>
          <w:rFonts w:ascii="Poppins" w:eastAsia="Times New Roman" w:hAnsi="Poppins" w:cs="Poppins"/>
          <w:sz w:val="21"/>
          <w:szCs w:val="21"/>
          <w:lang w:eastAsia="en-GB"/>
        </w:rPr>
        <w:t xml:space="preserve">dministration and monitoring of </w:t>
      </w:r>
      <w:r w:rsidR="005E0B6A" w:rsidRPr="00956781">
        <w:rPr>
          <w:rFonts w:ascii="Poppins" w:eastAsia="Times New Roman" w:hAnsi="Poppins" w:cs="Poppins"/>
          <w:sz w:val="21"/>
          <w:szCs w:val="21"/>
          <w:lang w:eastAsia="en-GB"/>
        </w:rPr>
        <w:t>t</w:t>
      </w:r>
      <w:r w:rsidR="00D6565B" w:rsidRPr="00956781">
        <w:rPr>
          <w:rFonts w:ascii="Poppins" w:eastAsia="Times New Roman" w:hAnsi="Poppins" w:cs="Poppins"/>
          <w:sz w:val="21"/>
          <w:szCs w:val="21"/>
          <w:lang w:eastAsia="en-GB"/>
        </w:rPr>
        <w:t>eplizumab</w:t>
      </w:r>
    </w:p>
    <w:p w14:paraId="5C02EB84" w14:textId="77777777"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Ongoing surveillance for progression to Stage 3 T1D</w:t>
      </w:r>
    </w:p>
    <w:p w14:paraId="7711FE17" w14:textId="77777777"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Coordination of care between specialist diabetes services, primary care and tertiary centres</w:t>
      </w:r>
    </w:p>
    <w:p w14:paraId="531D6991" w14:textId="78897ACD" w:rsidR="00956C5D" w:rsidRPr="00E42614" w:rsidRDefault="00D6565B" w:rsidP="0095678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Teplizumab is </w:t>
      </w:r>
      <w:r w:rsidR="008736DC" w:rsidRPr="00E42614">
        <w:rPr>
          <w:rFonts w:ascii="Poppins" w:eastAsia="Times New Roman" w:hAnsi="Poppins" w:cs="Poppins"/>
          <w:sz w:val="21"/>
          <w:szCs w:val="21"/>
          <w:lang w:eastAsia="en-GB"/>
        </w:rPr>
        <w:t xml:space="preserve">recommended by </w:t>
      </w:r>
      <w:r w:rsidR="00E07CD0" w:rsidRPr="00E42614">
        <w:rPr>
          <w:rFonts w:ascii="Poppins" w:eastAsia="Times New Roman" w:hAnsi="Poppins" w:cs="Poppins"/>
          <w:sz w:val="21"/>
          <w:szCs w:val="21"/>
          <w:lang w:eastAsia="en-GB"/>
        </w:rPr>
        <w:t>the National Institute for Health and Care Excellence (</w:t>
      </w:r>
      <w:r w:rsidR="008736DC" w:rsidRPr="00E42614">
        <w:rPr>
          <w:rFonts w:ascii="Poppins" w:eastAsia="Times New Roman" w:hAnsi="Poppins" w:cs="Poppins"/>
          <w:sz w:val="21"/>
          <w:szCs w:val="21"/>
          <w:lang w:eastAsia="en-GB"/>
        </w:rPr>
        <w:t>NICE</w:t>
      </w:r>
      <w:r w:rsidR="00E07CD0"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for NHS use in England</w:t>
      </w:r>
      <w:r w:rsidR="00D9671B" w:rsidRPr="00E42614">
        <w:rPr>
          <w:rFonts w:ascii="Poppins" w:eastAsia="Times New Roman" w:hAnsi="Poppins" w:cs="Poppins"/>
          <w:sz w:val="21"/>
          <w:szCs w:val="21"/>
          <w:lang w:eastAsia="en-GB"/>
        </w:rPr>
        <w:t xml:space="preserve"> and Wales</w:t>
      </w:r>
      <w:r w:rsidR="003C263F">
        <w:rPr>
          <w:rFonts w:ascii="Poppins" w:eastAsia="Times New Roman" w:hAnsi="Poppins" w:cs="Poppins"/>
          <w:sz w:val="21"/>
          <w:szCs w:val="21"/>
          <w:lang w:eastAsia="en-GB"/>
        </w:rPr>
        <w:t xml:space="preserve"> </w:t>
      </w:r>
      <w:r w:rsidR="003C263F" w:rsidRPr="003C263F">
        <w:rPr>
          <w:rFonts w:ascii="Poppins" w:eastAsia="Times New Roman" w:hAnsi="Poppins" w:cs="Poppins"/>
          <w:sz w:val="21"/>
          <w:szCs w:val="21"/>
          <w:lang w:val="en-US" w:eastAsia="en-GB"/>
        </w:rPr>
        <w:t>within its marketing authorisation, as an option for delaying the onset of stage 3 type 1 diabetes in people 8 years and over with stage 2 type 1 diabetes</w:t>
      </w:r>
      <w:r w:rsidRPr="00E42614">
        <w:rPr>
          <w:rFonts w:ascii="Poppins" w:eastAsia="Times New Roman" w:hAnsi="Poppins" w:cs="Poppins"/>
          <w:sz w:val="21"/>
          <w:szCs w:val="21"/>
          <w:lang w:eastAsia="en-GB"/>
        </w:rPr>
        <w:t xml:space="preserve">. It is currently the first disease-modifying therapy for T1D available within the </w:t>
      </w:r>
      <w:r w:rsidR="00C91C71" w:rsidRPr="00E42614">
        <w:rPr>
          <w:rFonts w:ascii="Poppins" w:eastAsia="Times New Roman" w:hAnsi="Poppins" w:cs="Poppins"/>
          <w:sz w:val="21"/>
          <w:szCs w:val="21"/>
          <w:lang w:eastAsia="en-GB"/>
        </w:rPr>
        <w:t>N</w:t>
      </w:r>
      <w:r w:rsidRPr="00E42614">
        <w:rPr>
          <w:rFonts w:ascii="Poppins" w:eastAsia="Times New Roman" w:hAnsi="Poppins" w:cs="Poppins"/>
          <w:sz w:val="21"/>
          <w:szCs w:val="21"/>
          <w:lang w:eastAsia="en-GB"/>
        </w:rPr>
        <w:t>HS.</w:t>
      </w:r>
      <w:r w:rsidR="0054461F" w:rsidRPr="00E42614">
        <w:rPr>
          <w:rFonts w:ascii="Poppins" w:eastAsia="Times New Roman" w:hAnsi="Poppins" w:cs="Poppins"/>
          <w:sz w:val="21"/>
          <w:szCs w:val="21"/>
          <w:lang w:eastAsia="en-GB"/>
        </w:rPr>
        <w:fldChar w:fldCharType="begin"/>
      </w:r>
      <w:r w:rsidR="0038137D">
        <w:rPr>
          <w:rFonts w:ascii="Poppins" w:eastAsia="Times New Roman" w:hAnsi="Poppins" w:cs="Poppins"/>
          <w:sz w:val="21"/>
          <w:szCs w:val="21"/>
          <w:lang w:eastAsia="en-GB"/>
        </w:rPr>
        <w:instrText xml:space="preserve"> ADDIN EN.CITE &lt;EndNote&gt;&lt;Cite&gt;&lt;Author&gt;NICE&lt;/Author&gt;&lt;Year&gt;2026&lt;/Year&gt;&lt;RecNum&gt;31573&lt;/RecNum&gt;&lt;DisplayText&gt;&lt;style face="superscript"&gt;(NICE, 2026b; NICE, 2026a)&lt;/style&gt;&lt;/DisplayText&gt;&lt;record&gt;&lt;rec-number&gt;31573&lt;/rec-number&gt;&lt;foreign-keys&gt;&lt;key app="EN" db-id="f5f5va0252p5fee95pj55es3tdereta29dxz" timestamp="1783334024" guid="6e9c3dbf-1686-497e-8269-38b3f323cd4b"&gt;31573&lt;/key&gt;&lt;/foreign-keys&gt;&lt;ref-type name="Generic"&gt;13&lt;/ref-type&gt;&lt;contributors&gt;&lt;authors&gt;&lt;author&gt;NICE,&lt;/author&gt;&lt;/authors&gt;&lt;/contributors&gt;&lt;titles&gt;&lt;title&gt;Teplizumab for delaying the onset of stage 3 type 1 diabetes in people 8 years and over with stage 2 type 1 diabetes&lt;/title&gt;&lt;/titles&gt;&lt;dates&gt;&lt;year&gt;2026&lt;/year&gt;&lt;/dates&gt;&lt;urls&gt;&lt;related-urls&gt;&lt;url&gt;https://www.nice.org.uk/guidance/ta1176&lt;/url&gt;&lt;/related-urls&gt;&lt;/urls&gt;&lt;access-date&gt;September 2026&lt;/access-date&gt;&lt;/record&gt;&lt;/Cite&gt;&lt;Cite&gt;&lt;Author&gt;NICE&lt;/Author&gt;&lt;Year&gt;2026&lt;/Year&gt;&lt;RecNum&gt;31668&lt;/RecNum&gt;&lt;record&gt;&lt;rec-number&gt;31668&lt;/rec-number&gt;&lt;foreign-keys&gt;&lt;key app="EN" db-id="f5f5va0252p5fee95pj55es3tdereta29dxz" timestamp="1785773751" guid="69ebae3a-9758-4398-9c75-8d4f8fab482c"&gt;31668&lt;/key&gt;&lt;/foreign-keys&gt;&lt;ref-type name="Generic"&gt;13&lt;/ref-type&gt;&lt;contributors&gt;&lt;authors&gt;&lt;author&gt;NICE,&lt;/author&gt;&lt;/authors&gt;&lt;/contributors&gt;&lt;titles&gt;&lt;title&gt;First disease-modifying therapy to delay the onset of type 1 diabetes recommended for NHS use&lt;/title&gt;&lt;/titles&gt;&lt;dates&gt;&lt;year&gt;2026&lt;/year&gt;&lt;/dates&gt;&lt;urls&gt;&lt;related-urls&gt;&lt;url&gt;https://www.nice.org.uk/news/articles/teplizumab-to-delay-the-onset-of-type-1-diabetes-recommended&lt;/url&gt;&lt;/related-urls&gt;&lt;/urls&gt;&lt;access-date&gt;September 2026&lt;/access-date&gt;&lt;/record&gt;&lt;/Cite&gt;&lt;/EndNote&gt;</w:instrText>
      </w:r>
      <w:r w:rsidR="0054461F" w:rsidRPr="00E42614">
        <w:rPr>
          <w:rFonts w:ascii="Poppins" w:eastAsia="Times New Roman" w:hAnsi="Poppins" w:cs="Poppins"/>
          <w:sz w:val="21"/>
          <w:szCs w:val="21"/>
          <w:lang w:eastAsia="en-GB"/>
        </w:rPr>
        <w:fldChar w:fldCharType="separate"/>
      </w:r>
      <w:r w:rsidR="003C263F" w:rsidRPr="003C263F">
        <w:rPr>
          <w:rFonts w:ascii="Poppins" w:eastAsia="Times New Roman" w:hAnsi="Poppins" w:cs="Poppins"/>
          <w:noProof/>
          <w:sz w:val="21"/>
          <w:szCs w:val="21"/>
          <w:vertAlign w:val="superscript"/>
          <w:lang w:eastAsia="en-GB"/>
        </w:rPr>
        <w:t>(NICE, 2026b; NICE, 2026a)</w:t>
      </w:r>
      <w:r w:rsidR="0054461F" w:rsidRPr="00E42614">
        <w:rPr>
          <w:rFonts w:ascii="Poppins" w:eastAsia="Times New Roman" w:hAnsi="Poppins" w:cs="Poppins"/>
          <w:sz w:val="21"/>
          <w:szCs w:val="21"/>
          <w:lang w:eastAsia="en-GB"/>
        </w:rPr>
        <w:fldChar w:fldCharType="end"/>
      </w:r>
      <w:r w:rsidRPr="00E42614">
        <w:rPr>
          <w:rFonts w:ascii="Poppins" w:eastAsia="Times New Roman" w:hAnsi="Poppins" w:cs="Poppins"/>
          <w:sz w:val="21"/>
          <w:szCs w:val="21"/>
          <w:lang w:eastAsia="en-GB"/>
        </w:rPr>
        <w:t xml:space="preserve"> </w:t>
      </w:r>
    </w:p>
    <w:p w14:paraId="2CEE5B08" w14:textId="070ACDB8" w:rsidR="00531388" w:rsidRPr="00E42614" w:rsidRDefault="00EF4718" w:rsidP="00956781">
      <w:pPr>
        <w:pStyle w:val="Heading1"/>
        <w:spacing w:before="360" w:after="120"/>
        <w:rPr>
          <w:lang w:eastAsia="en-GB"/>
        </w:rPr>
      </w:pPr>
      <w:bookmarkStart w:id="3" w:name="_Toc237332029"/>
      <w:r w:rsidRPr="00E42614">
        <w:rPr>
          <w:lang w:eastAsia="en-GB"/>
        </w:rPr>
        <w:t>Scope</w:t>
      </w:r>
      <w:bookmarkEnd w:id="3"/>
    </w:p>
    <w:p w14:paraId="4F994DB6" w14:textId="77777777" w:rsidR="00487F85" w:rsidRPr="00E42614" w:rsidRDefault="00700F91" w:rsidP="00956781">
      <w:pPr>
        <w:spacing w:before="120" w:after="120" w:line="240" w:lineRule="auto"/>
        <w:rPr>
          <w:rFonts w:ascii="Poppins" w:eastAsia="Times New Roman" w:hAnsi="Poppins" w:cs="Poppins"/>
          <w:lang w:eastAsia="en-GB"/>
        </w:rPr>
      </w:pPr>
      <w:r w:rsidRPr="00E42614">
        <w:rPr>
          <w:rFonts w:ascii="Poppins" w:eastAsia="Times New Roman" w:hAnsi="Poppins" w:cs="Poppins"/>
          <w:b/>
          <w:bCs/>
          <w:lang w:eastAsia="en-GB"/>
        </w:rPr>
        <w:t>Staff</w:t>
      </w:r>
      <w:r w:rsidR="00AA2604" w:rsidRPr="00E42614">
        <w:rPr>
          <w:rFonts w:ascii="Poppins" w:eastAsia="Times New Roman" w:hAnsi="Poppins" w:cs="Poppins"/>
          <w:b/>
          <w:bCs/>
          <w:lang w:eastAsia="en-GB"/>
        </w:rPr>
        <w:t>:</w:t>
      </w:r>
      <w:r w:rsidR="00531388" w:rsidRPr="00E42614">
        <w:rPr>
          <w:rFonts w:ascii="Poppins" w:eastAsia="Times New Roman" w:hAnsi="Poppins" w:cs="Poppins"/>
          <w:lang w:eastAsia="en-GB"/>
        </w:rPr>
        <w:t xml:space="preserve"> </w:t>
      </w:r>
    </w:p>
    <w:p w14:paraId="67EB8731" w14:textId="0C2B10F9" w:rsidR="00AA2604" w:rsidRPr="00E42614" w:rsidRDefault="00531388" w:rsidP="00956781">
      <w:pPr>
        <w:spacing w:before="120" w:after="120" w:line="240" w:lineRule="auto"/>
        <w:rPr>
          <w:rFonts w:ascii="Poppins" w:eastAsia="Times New Roman" w:hAnsi="Poppins" w:cs="Poppins"/>
          <w:i/>
          <w:iCs/>
          <w:sz w:val="21"/>
          <w:szCs w:val="21"/>
          <w:lang w:eastAsia="en-GB"/>
        </w:rPr>
      </w:pPr>
      <w:r w:rsidRPr="00E42614">
        <w:rPr>
          <w:rFonts w:ascii="Poppins" w:eastAsia="Times New Roman" w:hAnsi="Poppins" w:cs="Poppins"/>
          <w:bCs/>
          <w:i/>
          <w:iCs/>
          <w:color w:val="808080" w:themeColor="background1" w:themeShade="80"/>
          <w:sz w:val="20"/>
          <w:szCs w:val="20"/>
        </w:rPr>
        <w:t>&lt;</w:t>
      </w:r>
      <w:r w:rsidR="00487F85" w:rsidRPr="00E42614">
        <w:rPr>
          <w:rFonts w:ascii="Poppins" w:eastAsia="Times New Roman" w:hAnsi="Poppins" w:cs="Poppins"/>
          <w:bCs/>
          <w:i/>
          <w:iCs/>
          <w:color w:val="808080" w:themeColor="background1" w:themeShade="80"/>
          <w:sz w:val="20"/>
          <w:szCs w:val="20"/>
        </w:rPr>
        <w:t>A</w:t>
      </w:r>
      <w:r w:rsidRPr="00E42614">
        <w:rPr>
          <w:rFonts w:ascii="Poppins" w:eastAsia="Times New Roman" w:hAnsi="Poppins" w:cs="Poppins"/>
          <w:bCs/>
          <w:i/>
          <w:iCs/>
          <w:color w:val="808080" w:themeColor="background1" w:themeShade="80"/>
          <w:sz w:val="20"/>
          <w:szCs w:val="20"/>
        </w:rPr>
        <w:t>mend to local staff/roles if needed&gt;</w:t>
      </w:r>
    </w:p>
    <w:p w14:paraId="51AE52F8" w14:textId="77777777"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Consultant diabetologists</w:t>
      </w:r>
    </w:p>
    <w:p w14:paraId="27B1CAB6" w14:textId="6F03508F"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Paediatric endocrinologists</w:t>
      </w:r>
      <w:r w:rsidR="00177990" w:rsidRPr="00E42614">
        <w:rPr>
          <w:rFonts w:ascii="Poppins" w:eastAsia="Times New Roman" w:hAnsi="Poppins" w:cs="Poppins"/>
          <w:sz w:val="21"/>
          <w:szCs w:val="21"/>
          <w:lang w:eastAsia="en-GB"/>
        </w:rPr>
        <w:t xml:space="preserve"> / paediatricians with expertise in diabetes</w:t>
      </w:r>
    </w:p>
    <w:p w14:paraId="6ABA810E" w14:textId="067D8BB4"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Specialist diabetes nurses</w:t>
      </w:r>
      <w:r w:rsidR="00B766BA" w:rsidRPr="00E42614">
        <w:rPr>
          <w:rFonts w:ascii="Poppins" w:eastAsia="Times New Roman" w:hAnsi="Poppins" w:cs="Poppins"/>
          <w:sz w:val="21"/>
          <w:szCs w:val="21"/>
          <w:lang w:eastAsia="en-GB"/>
        </w:rPr>
        <w:t xml:space="preserve"> </w:t>
      </w:r>
      <w:r w:rsidR="003578A8" w:rsidRPr="00E42614">
        <w:rPr>
          <w:rFonts w:ascii="Poppins" w:eastAsia="Times New Roman" w:hAnsi="Poppins" w:cs="Poppins"/>
          <w:sz w:val="21"/>
          <w:szCs w:val="21"/>
          <w:lang w:eastAsia="en-GB"/>
        </w:rPr>
        <w:t>(</w:t>
      </w:r>
      <w:r w:rsidR="003578A8" w:rsidRPr="00956781">
        <w:rPr>
          <w:rFonts w:ascii="Poppins" w:eastAsia="Times New Roman" w:hAnsi="Poppins" w:cs="Poppins"/>
          <w:sz w:val="21"/>
          <w:szCs w:val="21"/>
          <w:lang w:eastAsia="en-GB"/>
        </w:rPr>
        <w:t>if involved</w:t>
      </w:r>
      <w:r w:rsidR="004111A4" w:rsidRPr="00956781">
        <w:rPr>
          <w:rFonts w:ascii="Poppins" w:eastAsia="Times New Roman" w:hAnsi="Poppins" w:cs="Poppins"/>
          <w:sz w:val="21"/>
          <w:szCs w:val="21"/>
          <w:lang w:eastAsia="en-GB"/>
        </w:rPr>
        <w:t>,</w:t>
      </w:r>
      <w:r w:rsidR="003578A8" w:rsidRPr="00956781">
        <w:rPr>
          <w:rFonts w:ascii="Poppins" w:eastAsia="Times New Roman" w:hAnsi="Poppins" w:cs="Poppins"/>
          <w:sz w:val="21"/>
          <w:szCs w:val="21"/>
          <w:lang w:eastAsia="en-GB"/>
        </w:rPr>
        <w:t xml:space="preserve"> </w:t>
      </w:r>
      <w:r w:rsidR="004111A4" w:rsidRPr="00956781">
        <w:rPr>
          <w:rFonts w:ascii="Poppins" w:eastAsia="Times New Roman" w:hAnsi="Poppins" w:cs="Poppins"/>
          <w:sz w:val="21"/>
          <w:szCs w:val="21"/>
          <w:lang w:eastAsia="en-GB"/>
        </w:rPr>
        <w:t>d</w:t>
      </w:r>
      <w:r w:rsidR="003578A8" w:rsidRPr="00956781">
        <w:rPr>
          <w:rFonts w:ascii="Poppins" w:eastAsia="Times New Roman" w:hAnsi="Poppins" w:cs="Poppins"/>
          <w:sz w:val="21"/>
          <w:szCs w:val="21"/>
          <w:lang w:eastAsia="en-GB"/>
        </w:rPr>
        <w:t>elete if not appropriate)</w:t>
      </w:r>
    </w:p>
    <w:p w14:paraId="0FF5E73B" w14:textId="77777777"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Pharmacists</w:t>
      </w:r>
    </w:p>
    <w:p w14:paraId="67B4808C" w14:textId="77777777"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Infusion unit staff</w:t>
      </w:r>
    </w:p>
    <w:p w14:paraId="12B46AF5" w14:textId="63AA877A"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Clinical psychologists</w:t>
      </w:r>
      <w:r w:rsidR="00DF1319" w:rsidRPr="00E42614">
        <w:rPr>
          <w:rFonts w:ascii="Poppins" w:eastAsia="Times New Roman" w:hAnsi="Poppins" w:cs="Poppins"/>
          <w:sz w:val="21"/>
          <w:szCs w:val="21"/>
          <w:lang w:eastAsia="en-GB"/>
        </w:rPr>
        <w:t xml:space="preserve"> or equivalent </w:t>
      </w:r>
      <w:r w:rsidR="00A64818" w:rsidRPr="00956781">
        <w:rPr>
          <w:rFonts w:ascii="Poppins" w:eastAsia="Times New Roman" w:hAnsi="Poppins" w:cs="Poppins"/>
          <w:sz w:val="21"/>
          <w:szCs w:val="21"/>
          <w:lang w:eastAsia="en-GB"/>
        </w:rPr>
        <w:t>(delete if not appropriate)</w:t>
      </w:r>
    </w:p>
    <w:p w14:paraId="44C54EA1" w14:textId="2AE836A6" w:rsidR="00E314A1" w:rsidRPr="00956781"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Administrative coordinators</w:t>
      </w:r>
    </w:p>
    <w:p w14:paraId="48310DF2" w14:textId="52F438AB" w:rsidR="00AA2604" w:rsidRPr="00E42614" w:rsidRDefault="00700F91" w:rsidP="0095678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Patients</w:t>
      </w:r>
      <w:r w:rsidR="00AA2604" w:rsidRPr="00E42614">
        <w:rPr>
          <w:rFonts w:ascii="Poppins" w:eastAsia="Times New Roman" w:hAnsi="Poppins" w:cs="Poppins"/>
          <w:b/>
          <w:bCs/>
          <w:lang w:eastAsia="en-GB"/>
        </w:rPr>
        <w:t>:</w:t>
      </w:r>
    </w:p>
    <w:p w14:paraId="1CF0C752" w14:textId="10B414C0" w:rsidR="00AA2604" w:rsidRPr="00956781" w:rsidRDefault="00AA2604" w:rsidP="009A7889">
      <w:pPr>
        <w:pStyle w:val="ListParagraph"/>
        <w:numPr>
          <w:ilvl w:val="0"/>
          <w:numId w:val="28"/>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Children</w:t>
      </w:r>
      <w:r w:rsidR="00594512" w:rsidRPr="00956781">
        <w:rPr>
          <w:rFonts w:ascii="Poppins" w:eastAsia="Times New Roman" w:hAnsi="Poppins" w:cs="Poppins"/>
          <w:sz w:val="21"/>
          <w:szCs w:val="21"/>
          <w:lang w:eastAsia="en-GB"/>
        </w:rPr>
        <w:t xml:space="preserve"> and young people</w:t>
      </w:r>
      <w:r w:rsidRPr="00956781">
        <w:rPr>
          <w:rFonts w:ascii="Poppins" w:eastAsia="Times New Roman" w:hAnsi="Poppins" w:cs="Poppins"/>
          <w:sz w:val="21"/>
          <w:szCs w:val="21"/>
          <w:lang w:eastAsia="en-GB"/>
        </w:rPr>
        <w:t xml:space="preserve"> aged ≥8 years</w:t>
      </w:r>
      <w:r w:rsidR="0049151B" w:rsidRPr="00956781">
        <w:rPr>
          <w:rFonts w:ascii="Poppins" w:eastAsia="Times New Roman" w:hAnsi="Poppins" w:cs="Poppins"/>
          <w:sz w:val="21"/>
          <w:szCs w:val="21"/>
          <w:lang w:eastAsia="en-GB"/>
        </w:rPr>
        <w:t xml:space="preserve"> diagnosed with Stage 2 T1D</w:t>
      </w:r>
      <w:r w:rsidR="003C263F" w:rsidRPr="00956781">
        <w:rPr>
          <w:rFonts w:ascii="Poppins" w:hAnsi="Poppins" w:cs="Poppins"/>
          <w:spacing w:val="-2"/>
        </w:rPr>
        <w:t>.</w:t>
      </w:r>
      <w:r w:rsidR="003C263F" w:rsidRPr="00956781">
        <w:rPr>
          <w:rFonts w:ascii="Poppins" w:hAnsi="Poppins" w:cs="Poppins"/>
          <w:spacing w:val="-2"/>
        </w:rPr>
        <w:fldChar w:fldCharType="begin"/>
      </w:r>
      <w:r w:rsidR="003C263F" w:rsidRPr="00956781">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3C263F" w:rsidRPr="00956781">
        <w:rPr>
          <w:rFonts w:ascii="Poppins" w:hAnsi="Poppins" w:cs="Poppins"/>
          <w:spacing w:val="-2"/>
        </w:rPr>
        <w:fldChar w:fldCharType="separate"/>
      </w:r>
      <w:r w:rsidR="003C263F" w:rsidRPr="00956781">
        <w:rPr>
          <w:rFonts w:ascii="Poppins" w:hAnsi="Poppins" w:cs="Poppins"/>
          <w:noProof/>
          <w:spacing w:val="-2"/>
          <w:vertAlign w:val="superscript"/>
        </w:rPr>
        <w:t>(TZIELD® SmPC)</w:t>
      </w:r>
      <w:r w:rsidR="003C263F" w:rsidRPr="00956781">
        <w:rPr>
          <w:rFonts w:ascii="Poppins" w:hAnsi="Poppins" w:cs="Poppins"/>
          <w:spacing w:val="-2"/>
        </w:rPr>
        <w:fldChar w:fldCharType="end"/>
      </w:r>
    </w:p>
    <w:p w14:paraId="3A0BB570" w14:textId="18204CAA" w:rsidR="009E6FB7" w:rsidRPr="009E6FB7" w:rsidRDefault="00AA2604" w:rsidP="009E6FB7">
      <w:pPr>
        <w:pStyle w:val="ListParagraph"/>
        <w:numPr>
          <w:ilvl w:val="0"/>
          <w:numId w:val="28"/>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Adults</w:t>
      </w:r>
      <w:r w:rsidR="004D7FC7" w:rsidRPr="00956781">
        <w:rPr>
          <w:rFonts w:ascii="Poppins" w:eastAsia="Times New Roman" w:hAnsi="Poppins" w:cs="Poppins"/>
          <w:sz w:val="21"/>
          <w:szCs w:val="21"/>
          <w:lang w:eastAsia="en-GB"/>
        </w:rPr>
        <w:t xml:space="preserve"> (</w:t>
      </w:r>
      <w:r w:rsidR="003151C2" w:rsidRPr="003151C2">
        <w:rPr>
          <w:rFonts w:ascii="Poppins" w:eastAsia="Times New Roman" w:hAnsi="Poppins" w:cs="Poppins"/>
          <w:sz w:val="21"/>
          <w:szCs w:val="21"/>
          <w:lang w:eastAsia="en-GB"/>
        </w:rPr>
        <w:t>≥</w:t>
      </w:r>
      <w:r w:rsidR="004D7FC7" w:rsidRPr="00956781">
        <w:rPr>
          <w:rFonts w:ascii="Poppins" w:eastAsia="Times New Roman" w:hAnsi="Poppins" w:cs="Poppins"/>
          <w:sz w:val="21"/>
          <w:szCs w:val="21"/>
          <w:lang w:eastAsia="en-GB"/>
        </w:rPr>
        <w:t xml:space="preserve"> 18 years old)</w:t>
      </w:r>
      <w:r w:rsidRPr="00956781">
        <w:rPr>
          <w:rFonts w:ascii="Poppins" w:eastAsia="Times New Roman" w:hAnsi="Poppins" w:cs="Poppins"/>
          <w:sz w:val="21"/>
          <w:szCs w:val="21"/>
          <w:lang w:eastAsia="en-GB"/>
        </w:rPr>
        <w:t xml:space="preserve"> diagnosed with Stage 2 T1D</w:t>
      </w:r>
      <w:r w:rsidR="003C263F" w:rsidRPr="00956781">
        <w:rPr>
          <w:rFonts w:ascii="Poppins" w:hAnsi="Poppins" w:cs="Poppins"/>
          <w:spacing w:val="-2"/>
        </w:rPr>
        <w:t>.</w:t>
      </w:r>
      <w:r w:rsidR="003C263F" w:rsidRPr="00956781">
        <w:rPr>
          <w:rFonts w:ascii="Poppins" w:hAnsi="Poppins" w:cs="Poppins"/>
          <w:spacing w:val="-2"/>
        </w:rPr>
        <w:fldChar w:fldCharType="begin"/>
      </w:r>
      <w:r w:rsidR="003C263F" w:rsidRPr="00956781">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3C263F" w:rsidRPr="00956781">
        <w:rPr>
          <w:rFonts w:ascii="Poppins" w:hAnsi="Poppins" w:cs="Poppins"/>
          <w:spacing w:val="-2"/>
        </w:rPr>
        <w:fldChar w:fldCharType="separate"/>
      </w:r>
      <w:r w:rsidR="003C263F" w:rsidRPr="00956781">
        <w:rPr>
          <w:rFonts w:ascii="Poppins" w:hAnsi="Poppins" w:cs="Poppins"/>
          <w:noProof/>
          <w:spacing w:val="-2"/>
          <w:vertAlign w:val="superscript"/>
        </w:rPr>
        <w:t>(TZIELD® SmPC)</w:t>
      </w:r>
      <w:r w:rsidR="003C263F" w:rsidRPr="00956781">
        <w:rPr>
          <w:rFonts w:ascii="Poppins" w:hAnsi="Poppins" w:cs="Poppins"/>
          <w:spacing w:val="-2"/>
        </w:rPr>
        <w:fldChar w:fldCharType="end"/>
      </w:r>
      <w:bookmarkStart w:id="4" w:name="_Toc237332030"/>
    </w:p>
    <w:p w14:paraId="07DCEDBB" w14:textId="77777777" w:rsidR="009E6FB7" w:rsidRDefault="009E6FB7">
      <w:pPr>
        <w:rPr>
          <w:rFonts w:ascii="Poppins" w:eastAsiaTheme="majorEastAsia" w:hAnsi="Poppins" w:cstheme="majorBidi"/>
          <w:b/>
          <w:bCs/>
          <w:color w:val="0023C8"/>
          <w:sz w:val="36"/>
          <w:szCs w:val="28"/>
          <w:lang w:eastAsia="en-GB"/>
        </w:rPr>
      </w:pPr>
      <w:r>
        <w:rPr>
          <w:lang w:eastAsia="en-GB"/>
        </w:rPr>
        <w:br w:type="page"/>
      </w:r>
    </w:p>
    <w:p w14:paraId="63B66CFA" w14:textId="45A5E207" w:rsidR="00AA2604" w:rsidRPr="00E42614" w:rsidRDefault="00B91774" w:rsidP="004111A4">
      <w:pPr>
        <w:pStyle w:val="Heading1"/>
        <w:rPr>
          <w:lang w:eastAsia="en-GB"/>
        </w:rPr>
      </w:pPr>
      <w:r w:rsidRPr="00E42614">
        <w:rPr>
          <w:lang w:eastAsia="en-GB"/>
        </w:rPr>
        <w:lastRenderedPageBreak/>
        <w:t>Terminology and abbreviations</w:t>
      </w:r>
      <w:bookmarkEnd w:id="4"/>
    </w:p>
    <w:p w14:paraId="4BEFF9C1" w14:textId="0166F7BE" w:rsidR="0048352B" w:rsidRPr="00E42614" w:rsidRDefault="0048352B" w:rsidP="004E03CB">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Staging </w:t>
      </w:r>
      <w:r w:rsidR="00896AB6" w:rsidRPr="00E42614">
        <w:rPr>
          <w:rFonts w:ascii="Poppins" w:eastAsia="Times New Roman" w:hAnsi="Poppins" w:cs="Poppins"/>
          <w:b/>
          <w:bCs/>
          <w:lang w:eastAsia="en-GB"/>
        </w:rPr>
        <w:t>t</w:t>
      </w:r>
      <w:r w:rsidRPr="00E42614">
        <w:rPr>
          <w:rFonts w:ascii="Poppins" w:eastAsia="Times New Roman" w:hAnsi="Poppins" w:cs="Poppins"/>
          <w:b/>
          <w:bCs/>
          <w:lang w:eastAsia="en-GB"/>
        </w:rPr>
        <w:t>ype 1 diabetes</w:t>
      </w:r>
      <w:r w:rsidR="004C4993" w:rsidRPr="00E42614">
        <w:rPr>
          <w:rFonts w:ascii="Poppins" w:eastAsia="Times New Roman" w:hAnsi="Poppins" w:cs="Poppins"/>
          <w:b/>
          <w:bCs/>
          <w:lang w:eastAsia="en-GB"/>
        </w:rPr>
        <w:t xml:space="preserve"> (T1D)</w:t>
      </w:r>
      <w:r w:rsidRPr="00E42614">
        <w:rPr>
          <w:rFonts w:ascii="Poppins" w:eastAsia="Times New Roman" w:hAnsi="Poppins" w:cs="Poppins"/>
          <w:b/>
          <w:bCs/>
          <w:lang w:eastAsia="en-GB"/>
        </w:rPr>
        <w:fldChar w:fldCharType="begin">
          <w:fldData xml:space="preserve">PEVuZE5vdGU+PENpdGU+PEF1dGhvcj5TaW1zPC9BdXRob3I+PFllYXI+MjAyMjwvWWVhcj48UmVj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</w:fldData>
        </w:fldChar>
      </w:r>
      <w:r w:rsidR="003C263F">
        <w:rPr>
          <w:rFonts w:ascii="Poppins" w:eastAsia="Times New Roman" w:hAnsi="Poppins" w:cs="Poppins"/>
          <w:b/>
          <w:bCs/>
          <w:lang w:eastAsia="en-GB"/>
        </w:rPr>
        <w:instrText xml:space="preserve"> ADDIN EN.CITE </w:instrText>
      </w:r>
      <w:r w:rsidR="003C263F">
        <w:rPr>
          <w:rFonts w:ascii="Poppins" w:eastAsia="Times New Roman" w:hAnsi="Poppins" w:cs="Poppins"/>
          <w:b/>
          <w:bCs/>
          <w:lang w:eastAsia="en-GB"/>
        </w:rPr>
        <w:fldChar w:fldCharType="begin">
          <w:fldData xml:space="preserve">PEVuZE5vdGU+PENpdGU+PEF1dGhvcj5TaW1zPC9BdXRob3I+PFllYXI+MjAyMjwvWWVhcj48UmVj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</w:fldData>
        </w:fldChar>
      </w:r>
      <w:r w:rsidR="003C263F">
        <w:rPr>
          <w:rFonts w:ascii="Poppins" w:eastAsia="Times New Roman" w:hAnsi="Poppins" w:cs="Poppins"/>
          <w:b/>
          <w:bCs/>
          <w:lang w:eastAsia="en-GB"/>
        </w:rPr>
        <w:instrText xml:space="preserve"> ADDIN EN.CITE.DATA </w:instrText>
      </w:r>
      <w:r w:rsidR="003C263F">
        <w:rPr>
          <w:rFonts w:ascii="Poppins" w:eastAsia="Times New Roman" w:hAnsi="Poppins" w:cs="Poppins"/>
          <w:b/>
          <w:bCs/>
          <w:lang w:eastAsia="en-GB"/>
        </w:rPr>
      </w:r>
      <w:r w:rsidR="003C263F">
        <w:rPr>
          <w:rFonts w:ascii="Poppins" w:eastAsia="Times New Roman" w:hAnsi="Poppins" w:cs="Poppins"/>
          <w:b/>
          <w:bCs/>
          <w:lang w:eastAsia="en-GB"/>
        </w:rPr>
        <w:fldChar w:fldCharType="end"/>
      </w:r>
      <w:r w:rsidRPr="00E42614">
        <w:rPr>
          <w:rFonts w:ascii="Poppins" w:eastAsia="Times New Roman" w:hAnsi="Poppins" w:cs="Poppins"/>
          <w:b/>
          <w:bCs/>
          <w:lang w:eastAsia="en-GB"/>
        </w:rPr>
      </w:r>
      <w:r w:rsidRPr="00E42614">
        <w:rPr>
          <w:rFonts w:ascii="Poppins" w:eastAsia="Times New Roman" w:hAnsi="Poppins" w:cs="Poppins"/>
          <w:b/>
          <w:bCs/>
          <w:lang w:eastAsia="en-GB"/>
        </w:rPr>
        <w:fldChar w:fldCharType="separate"/>
      </w:r>
      <w:r w:rsidR="003C263F" w:rsidRPr="003C263F">
        <w:rPr>
          <w:rFonts w:ascii="Poppins" w:eastAsia="Times New Roman" w:hAnsi="Poppins" w:cs="Poppins"/>
          <w:b/>
          <w:bCs/>
          <w:noProof/>
          <w:vertAlign w:val="superscript"/>
          <w:lang w:eastAsia="en-GB"/>
        </w:rPr>
        <w:t>(Sims, 2022; Phillip, 2024; Insel, 2015)</w:t>
      </w:r>
      <w:r w:rsidRPr="00E42614">
        <w:rPr>
          <w:rFonts w:ascii="Poppins" w:eastAsia="Times New Roman" w:hAnsi="Poppins" w:cs="Poppins"/>
          <w:b/>
          <w:bCs/>
          <w:lang w:eastAsia="en-GB"/>
        </w:rPr>
        <w:fldChar w:fldCharType="end"/>
      </w: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1413"/>
        <w:gridCol w:w="2901"/>
        <w:gridCol w:w="2158"/>
        <w:gridCol w:w="2158"/>
      </w:tblGrid>
      <w:tr w:rsidR="00B91774" w:rsidRPr="00E42614" w14:paraId="4FA982D1" w14:textId="77777777" w:rsidTr="004E03CB">
        <w:tc>
          <w:tcPr>
            <w:tcW w:w="1413" w:type="dxa"/>
            <w:shd w:val="clear" w:color="auto" w:fill="9FD8FF"/>
            <w:vAlign w:val="center"/>
          </w:tcPr>
          <w:p w14:paraId="786269D6" w14:textId="04911A1E"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T1D</w:t>
            </w:r>
            <w:r w:rsidR="004C4993" w:rsidRPr="00E42614">
              <w:rPr>
                <w:rFonts w:ascii="Poppins" w:eastAsia="Times New Roman" w:hAnsi="Poppins" w:cs="Poppins"/>
                <w:b/>
                <w:bCs/>
                <w:sz w:val="20"/>
                <w:szCs w:val="20"/>
                <w:lang w:eastAsia="en-GB"/>
              </w:rPr>
              <w:t xml:space="preserve"> </w:t>
            </w:r>
            <w:r w:rsidRPr="00E42614">
              <w:rPr>
                <w:rFonts w:ascii="Poppins" w:eastAsia="Times New Roman" w:hAnsi="Poppins" w:cs="Poppins"/>
                <w:b/>
                <w:bCs/>
                <w:sz w:val="20"/>
                <w:szCs w:val="20"/>
                <w:lang w:eastAsia="en-GB"/>
              </w:rPr>
              <w:t>stage</w:t>
            </w:r>
          </w:p>
        </w:tc>
        <w:tc>
          <w:tcPr>
            <w:tcW w:w="2901" w:type="dxa"/>
            <w:shd w:val="clear" w:color="auto" w:fill="9FD8FF"/>
            <w:vAlign w:val="center"/>
          </w:tcPr>
          <w:p w14:paraId="728334FE" w14:textId="4BC5E7A5"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Autoantibody status</w:t>
            </w:r>
          </w:p>
        </w:tc>
        <w:tc>
          <w:tcPr>
            <w:tcW w:w="2158" w:type="dxa"/>
            <w:shd w:val="clear" w:color="auto" w:fill="9FD8FF"/>
            <w:vAlign w:val="center"/>
          </w:tcPr>
          <w:p w14:paraId="2E94F706" w14:textId="72F329BA"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Glycaemia status</w:t>
            </w:r>
          </w:p>
        </w:tc>
        <w:tc>
          <w:tcPr>
            <w:tcW w:w="2158" w:type="dxa"/>
            <w:shd w:val="clear" w:color="auto" w:fill="9FD8FF"/>
            <w:vAlign w:val="center"/>
          </w:tcPr>
          <w:p w14:paraId="23D579AC" w14:textId="07C2F4F9"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Clinical features</w:t>
            </w:r>
          </w:p>
        </w:tc>
      </w:tr>
      <w:tr w:rsidR="00B91774" w:rsidRPr="00E42614" w14:paraId="5DC398F4" w14:textId="77777777" w:rsidTr="004E03CB">
        <w:tc>
          <w:tcPr>
            <w:tcW w:w="1413" w:type="dxa"/>
            <w:shd w:val="clear" w:color="auto" w:fill="F2F2F2" w:themeFill="background1" w:themeFillShade="F2"/>
            <w:vAlign w:val="center"/>
          </w:tcPr>
          <w:p w14:paraId="350C62C5" w14:textId="4C0CE3A2" w:rsidR="00B91774" w:rsidRPr="00CF38B1" w:rsidRDefault="00B91774"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Stage 1 T1D</w:t>
            </w:r>
          </w:p>
        </w:tc>
        <w:tc>
          <w:tcPr>
            <w:tcW w:w="2901" w:type="dxa"/>
            <w:shd w:val="clear" w:color="auto" w:fill="F2F2F2" w:themeFill="background1" w:themeFillShade="F2"/>
            <w:vAlign w:val="center"/>
          </w:tcPr>
          <w:p w14:paraId="3735E70D" w14:textId="10B183B0"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≥2 pancreatic autoantibodies</w:t>
            </w:r>
          </w:p>
        </w:tc>
        <w:tc>
          <w:tcPr>
            <w:tcW w:w="2158" w:type="dxa"/>
            <w:shd w:val="clear" w:color="auto" w:fill="F2F2F2" w:themeFill="background1" w:themeFillShade="F2"/>
            <w:vAlign w:val="center"/>
          </w:tcPr>
          <w:p w14:paraId="29ED9C24" w14:textId="7EE08FE0"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Normal</w:t>
            </w:r>
          </w:p>
        </w:tc>
        <w:tc>
          <w:tcPr>
            <w:tcW w:w="2158" w:type="dxa"/>
            <w:shd w:val="clear" w:color="auto" w:fill="F2F2F2" w:themeFill="background1" w:themeFillShade="F2"/>
            <w:vAlign w:val="center"/>
          </w:tcPr>
          <w:p w14:paraId="1B8BD052" w14:textId="7354EF12"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Asymptomatic</w:t>
            </w:r>
          </w:p>
        </w:tc>
      </w:tr>
      <w:tr w:rsidR="00B91774" w:rsidRPr="00E42614" w14:paraId="2DAC725D" w14:textId="77777777" w:rsidTr="004E03CB">
        <w:tc>
          <w:tcPr>
            <w:tcW w:w="1413" w:type="dxa"/>
            <w:shd w:val="clear" w:color="auto" w:fill="F2F2F2" w:themeFill="background1" w:themeFillShade="F2"/>
            <w:vAlign w:val="center"/>
          </w:tcPr>
          <w:p w14:paraId="33CFA734" w14:textId="55D1EAD0" w:rsidR="00B91774" w:rsidRPr="00CF38B1" w:rsidRDefault="00B91774"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Stage 2 T1D</w:t>
            </w:r>
          </w:p>
        </w:tc>
        <w:tc>
          <w:tcPr>
            <w:tcW w:w="2901" w:type="dxa"/>
            <w:shd w:val="clear" w:color="auto" w:fill="F2F2F2" w:themeFill="background1" w:themeFillShade="F2"/>
            <w:vAlign w:val="center"/>
          </w:tcPr>
          <w:p w14:paraId="404E3235" w14:textId="64FAF2E3"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≥2 pancreatic autoantibodies*</w:t>
            </w:r>
          </w:p>
        </w:tc>
        <w:tc>
          <w:tcPr>
            <w:tcW w:w="2158" w:type="dxa"/>
            <w:shd w:val="clear" w:color="auto" w:fill="F2F2F2" w:themeFill="background1" w:themeFillShade="F2"/>
            <w:vAlign w:val="center"/>
          </w:tcPr>
          <w:p w14:paraId="12E8FD90" w14:textId="58261ED1"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Dysglycaemia</w:t>
            </w:r>
            <w:r w:rsidR="000943FF" w:rsidRPr="00CF38B1">
              <w:rPr>
                <w:rFonts w:ascii="Poppins" w:eastAsia="Times New Roman" w:hAnsi="Poppins" w:cs="Poppins"/>
                <w:sz w:val="18"/>
                <w:szCs w:val="18"/>
                <w:vertAlign w:val="superscript"/>
                <w:lang w:eastAsia="en-GB"/>
              </w:rPr>
              <w:t>†</w:t>
            </w:r>
          </w:p>
        </w:tc>
        <w:tc>
          <w:tcPr>
            <w:tcW w:w="2158" w:type="dxa"/>
            <w:shd w:val="clear" w:color="auto" w:fill="F2F2F2" w:themeFill="background1" w:themeFillShade="F2"/>
            <w:vAlign w:val="center"/>
          </w:tcPr>
          <w:p w14:paraId="0F543CC8" w14:textId="5A9DDD73"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Asymptomatic</w:t>
            </w:r>
          </w:p>
        </w:tc>
      </w:tr>
      <w:tr w:rsidR="00B91774" w:rsidRPr="00E42614" w14:paraId="509A04AF" w14:textId="77777777" w:rsidTr="004E03CB">
        <w:tc>
          <w:tcPr>
            <w:tcW w:w="1413" w:type="dxa"/>
            <w:shd w:val="clear" w:color="auto" w:fill="F2F2F2" w:themeFill="background1" w:themeFillShade="F2"/>
            <w:vAlign w:val="center"/>
          </w:tcPr>
          <w:p w14:paraId="4BAC2BFB" w14:textId="4FF7751D" w:rsidR="00B91774" w:rsidRPr="00CF38B1" w:rsidRDefault="00B91774"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Stage 3 T1D</w:t>
            </w:r>
          </w:p>
        </w:tc>
        <w:tc>
          <w:tcPr>
            <w:tcW w:w="2901" w:type="dxa"/>
            <w:shd w:val="clear" w:color="auto" w:fill="F2F2F2" w:themeFill="background1" w:themeFillShade="F2"/>
            <w:vAlign w:val="center"/>
          </w:tcPr>
          <w:p w14:paraId="27201FFD" w14:textId="007D05E2"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≥1 pancreatic autoantibodies</w:t>
            </w:r>
          </w:p>
        </w:tc>
        <w:tc>
          <w:tcPr>
            <w:tcW w:w="2158" w:type="dxa"/>
            <w:shd w:val="clear" w:color="auto" w:fill="F2F2F2" w:themeFill="background1" w:themeFillShade="F2"/>
            <w:vAlign w:val="center"/>
          </w:tcPr>
          <w:p w14:paraId="167804A7" w14:textId="4979295E"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Hyperglycaemia</w:t>
            </w:r>
            <w:r w:rsidR="000943FF" w:rsidRPr="00CF38B1">
              <w:rPr>
                <w:rFonts w:ascii="Poppins" w:eastAsia="Times New Roman" w:hAnsi="Poppins" w:cs="Poppins"/>
                <w:sz w:val="18"/>
                <w:szCs w:val="18"/>
                <w:vertAlign w:val="superscript"/>
                <w:lang w:eastAsia="en-GB"/>
              </w:rPr>
              <w:t>‡</w:t>
            </w:r>
          </w:p>
        </w:tc>
        <w:tc>
          <w:tcPr>
            <w:tcW w:w="2158" w:type="dxa"/>
            <w:shd w:val="clear" w:color="auto" w:fill="F2F2F2" w:themeFill="background1" w:themeFillShade="F2"/>
            <w:vAlign w:val="center"/>
          </w:tcPr>
          <w:p w14:paraId="1557490C" w14:textId="615B7B87"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Symptomatic –</w:t>
            </w:r>
            <w:r w:rsidR="004111A4" w:rsidRPr="00CF38B1">
              <w:rPr>
                <w:rFonts w:ascii="Poppins" w:eastAsia="Times New Roman" w:hAnsi="Poppins" w:cs="Poppins"/>
                <w:sz w:val="18"/>
                <w:szCs w:val="18"/>
                <w:lang w:eastAsia="en-GB"/>
              </w:rPr>
              <w:br/>
            </w:r>
            <w:r w:rsidRPr="00CF38B1">
              <w:rPr>
                <w:rFonts w:ascii="Poppins" w:eastAsia="Times New Roman" w:hAnsi="Poppins" w:cs="Poppins"/>
                <w:sz w:val="18"/>
                <w:szCs w:val="18"/>
                <w:lang w:eastAsia="en-GB"/>
              </w:rPr>
              <w:t>may require insulin</w:t>
            </w:r>
          </w:p>
        </w:tc>
      </w:tr>
    </w:tbl>
    <w:p w14:paraId="659D208F" w14:textId="26297D10" w:rsidR="00B91774" w:rsidRPr="00E42614" w:rsidRDefault="0048352B" w:rsidP="004E03CB">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w:t>
      </w:r>
      <w:r w:rsidRPr="00E42614">
        <w:rPr>
          <w:rFonts w:ascii="Poppins" w:eastAsia="Times New Roman" w:hAnsi="Poppins" w:cs="Poppins"/>
          <w:sz w:val="18"/>
          <w:szCs w:val="18"/>
          <w:lang w:eastAsia="en-GB"/>
        </w:rPr>
        <w:t>Some people with confirmed persistent prior multiple autoantibody positivity may revert to single autoantibody status or negative status</w: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 </w:instrTex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EN.CITE.DATA </w:instrText>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end"/>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separate"/>
      </w:r>
      <w:r w:rsidR="00E5604A" w:rsidRPr="00E5604A">
        <w:rPr>
          <w:rFonts w:ascii="Poppins" w:eastAsia="Times New Roman" w:hAnsi="Poppins" w:cs="Poppins"/>
          <w:noProof/>
          <w:sz w:val="18"/>
          <w:szCs w:val="18"/>
          <w:vertAlign w:val="superscript"/>
          <w:lang w:eastAsia="en-GB"/>
        </w:rPr>
        <w:t>(Phillip, 2024)</w:t>
      </w:r>
      <w:r w:rsidR="00E5604A">
        <w:rPr>
          <w:rFonts w:ascii="Poppins" w:eastAsia="Times New Roman" w:hAnsi="Poppins" w:cs="Poppins"/>
          <w:sz w:val="18"/>
          <w:szCs w:val="18"/>
          <w:lang w:eastAsia="en-GB"/>
        </w:rPr>
        <w:fldChar w:fldCharType="end"/>
      </w:r>
    </w:p>
    <w:p w14:paraId="5A3EE6EB" w14:textId="7285441F" w:rsidR="00C41DEF" w:rsidRPr="00E42614" w:rsidRDefault="000943FF" w:rsidP="004E03CB">
      <w:pPr>
        <w:spacing w:before="120" w:after="120" w:line="240" w:lineRule="auto"/>
        <w:rPr>
          <w:rFonts w:ascii="Poppins" w:eastAsia="Times New Roman" w:hAnsi="Poppins" w:cs="Poppins"/>
          <w:sz w:val="18"/>
          <w:szCs w:val="18"/>
          <w:lang w:eastAsia="en-GB"/>
        </w:rPr>
      </w:pPr>
      <w:r w:rsidRPr="00E42614">
        <w:rPr>
          <w:rFonts w:ascii="Poppins" w:eastAsia="Times New Roman" w:hAnsi="Poppins" w:cs="Poppins"/>
          <w:sz w:val="21"/>
          <w:szCs w:val="21"/>
          <w:vertAlign w:val="superscript"/>
          <w:lang w:eastAsia="en-GB"/>
        </w:rPr>
        <w:t>†</w:t>
      </w:r>
      <w:r w:rsidRPr="00E42614">
        <w:rPr>
          <w:rFonts w:ascii="Poppins" w:eastAsia="Times New Roman" w:hAnsi="Poppins" w:cs="Poppins"/>
          <w:sz w:val="18"/>
          <w:szCs w:val="18"/>
          <w:lang w:eastAsia="en-GB"/>
        </w:rPr>
        <w:t>Defined as meeting 2 or more of the following at a single time point, or meeting the same criterion at two time points between 3 and 12 months apart:</w: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 </w:instrTex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EN.CITE.DATA </w:instrText>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end"/>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separate"/>
      </w:r>
      <w:r w:rsidR="00E5604A" w:rsidRPr="00E5604A">
        <w:rPr>
          <w:rFonts w:ascii="Poppins" w:eastAsia="Times New Roman" w:hAnsi="Poppins" w:cs="Poppins"/>
          <w:noProof/>
          <w:sz w:val="18"/>
          <w:szCs w:val="18"/>
          <w:vertAlign w:val="superscript"/>
          <w:lang w:eastAsia="en-GB"/>
        </w:rPr>
        <w:t>(Phillip, 2024)</w:t>
      </w:r>
      <w:r w:rsidR="00E5604A">
        <w:rPr>
          <w:rFonts w:ascii="Poppins" w:eastAsia="Times New Roman" w:hAnsi="Poppins" w:cs="Poppins"/>
          <w:sz w:val="18"/>
          <w:szCs w:val="18"/>
          <w:lang w:eastAsia="en-GB"/>
        </w:rPr>
        <w:fldChar w:fldCharType="end"/>
      </w:r>
      <w:r w:rsidRPr="00E42614">
        <w:rPr>
          <w:rFonts w:ascii="Poppins" w:eastAsia="Times New Roman" w:hAnsi="Poppins" w:cs="Poppins"/>
          <w:sz w:val="18"/>
          <w:szCs w:val="18"/>
          <w:lang w:eastAsia="en-GB"/>
        </w:rPr>
        <w:t xml:space="preserve"> </w:t>
      </w:r>
    </w:p>
    <w:p w14:paraId="0AF2B74D" w14:textId="6AF3F8FA" w:rsidR="00C66171" w:rsidRPr="00E42614"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Fasting plasma glucose</w:t>
      </w:r>
      <w:r w:rsidR="00926013" w:rsidRPr="00E42614">
        <w:rPr>
          <w:rFonts w:ascii="Poppins" w:eastAsia="Times New Roman" w:hAnsi="Poppins" w:cs="Poppins"/>
          <w:sz w:val="18"/>
          <w:szCs w:val="18"/>
          <w:lang w:eastAsia="en-GB"/>
        </w:rPr>
        <w:t xml:space="preserve"> (FPG)</w:t>
      </w:r>
      <w:r w:rsidRPr="00E42614">
        <w:rPr>
          <w:rFonts w:ascii="Poppins" w:eastAsia="Times New Roman" w:hAnsi="Poppins" w:cs="Poppins"/>
          <w:sz w:val="18"/>
          <w:szCs w:val="18"/>
          <w:lang w:eastAsia="en-GB"/>
        </w:rPr>
        <w:t xml:space="preserve"> 5.6-6.9 mmol/L</w:t>
      </w:r>
    </w:p>
    <w:p w14:paraId="5F54AE18" w14:textId="3CCCD134" w:rsidR="00C66171" w:rsidRPr="003C263F"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val="it-IT" w:eastAsia="en-GB"/>
        </w:rPr>
      </w:pPr>
      <w:r w:rsidRPr="003C263F">
        <w:rPr>
          <w:rFonts w:ascii="Poppins" w:eastAsia="Times New Roman" w:hAnsi="Poppins" w:cs="Poppins"/>
          <w:sz w:val="18"/>
          <w:szCs w:val="18"/>
          <w:lang w:val="it-IT" w:eastAsia="en-GB"/>
        </w:rPr>
        <w:t>120 min plasma glucose in OGTT 7.8-11.0mmol/L</w:t>
      </w:r>
    </w:p>
    <w:p w14:paraId="63CFE818" w14:textId="13F63A1F" w:rsidR="00C66171" w:rsidRPr="00E42614"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 xml:space="preserve">HbA1c 39-47 mmol/mol (5.7-6.5%) or </w:t>
      </w:r>
      <w:r w:rsidR="00487F85" w:rsidRPr="00E42614">
        <w:rPr>
          <w:rFonts w:ascii="Poppins" w:eastAsia="Times New Roman" w:hAnsi="Poppins" w:cs="Poppins"/>
          <w:sz w:val="18"/>
          <w:szCs w:val="18"/>
          <w:lang w:eastAsia="en-GB"/>
        </w:rPr>
        <w:t>a ≥</w:t>
      </w:r>
      <w:r w:rsidRPr="00E42614">
        <w:rPr>
          <w:rFonts w:ascii="Poppins" w:eastAsia="Times New Roman" w:hAnsi="Poppins" w:cs="Poppins"/>
          <w:sz w:val="18"/>
          <w:szCs w:val="18"/>
          <w:lang w:eastAsia="en-GB"/>
        </w:rPr>
        <w:t>10% increase in HbA1c</w:t>
      </w:r>
    </w:p>
    <w:p w14:paraId="0FE44E5C" w14:textId="524342AD" w:rsidR="004C4993" w:rsidRPr="00E42614"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Interim Glucose (30/60/90 min values) in OGTT ≥ 11.1 mmol/L</w:t>
      </w:r>
    </w:p>
    <w:p w14:paraId="789D6788" w14:textId="206E1AB4" w:rsidR="00C66171" w:rsidRPr="00E42614" w:rsidRDefault="00C66171" w:rsidP="00AD27C7">
      <w:pPr>
        <w:shd w:val="clear" w:color="auto" w:fill="FFFFFF"/>
        <w:spacing w:before="240" w:after="120" w:line="240" w:lineRule="auto"/>
        <w:jc w:val="both"/>
        <w:rPr>
          <w:rFonts w:ascii="Poppins" w:eastAsia="Times New Roman" w:hAnsi="Poppins" w:cs="Poppins"/>
          <w:sz w:val="18"/>
          <w:szCs w:val="18"/>
          <w:lang w:eastAsia="en-GB"/>
        </w:rPr>
      </w:pPr>
      <w:r w:rsidRPr="00E42614">
        <w:rPr>
          <w:rFonts w:ascii="Poppins" w:eastAsia="Times New Roman" w:hAnsi="Poppins" w:cs="Poppins"/>
          <w:sz w:val="18"/>
          <w:szCs w:val="18"/>
          <w:vertAlign w:val="superscript"/>
          <w:lang w:eastAsia="en-GB"/>
        </w:rPr>
        <w:t>‡</w:t>
      </w:r>
      <w:r w:rsidR="00926013" w:rsidRPr="00E42614">
        <w:rPr>
          <w:rFonts w:ascii="Poppins" w:eastAsia="Times New Roman" w:hAnsi="Poppins" w:cs="Poppins"/>
          <w:sz w:val="18"/>
          <w:szCs w:val="18"/>
          <w:lang w:eastAsia="en-GB"/>
        </w:rPr>
        <w:t>Defined as:</w:t>
      </w:r>
      <w:r w:rsidR="00115E75" w:rsidRPr="00E42614">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3C263F">
        <w:rPr>
          <w:rFonts w:ascii="Poppins" w:eastAsia="Times New Roman" w:hAnsi="Poppins" w:cs="Poppins"/>
          <w:sz w:val="18"/>
          <w:szCs w:val="18"/>
          <w:lang w:eastAsia="en-GB"/>
        </w:rPr>
        <w:instrText xml:space="preserve"> ADDIN EN.CITE </w:instrText>
      </w:r>
      <w:r w:rsidR="003C263F">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3C263F">
        <w:rPr>
          <w:rFonts w:ascii="Poppins" w:eastAsia="Times New Roman" w:hAnsi="Poppins" w:cs="Poppins"/>
          <w:sz w:val="18"/>
          <w:szCs w:val="18"/>
          <w:lang w:eastAsia="en-GB"/>
        </w:rPr>
        <w:instrText xml:space="preserve"> ADDIN EN.CITE.DATA </w:instrText>
      </w:r>
      <w:r w:rsidR="003C263F">
        <w:rPr>
          <w:rFonts w:ascii="Poppins" w:eastAsia="Times New Roman" w:hAnsi="Poppins" w:cs="Poppins"/>
          <w:sz w:val="18"/>
          <w:szCs w:val="18"/>
          <w:lang w:eastAsia="en-GB"/>
        </w:rPr>
      </w:r>
      <w:r w:rsidR="003C263F">
        <w:rPr>
          <w:rFonts w:ascii="Poppins" w:eastAsia="Times New Roman" w:hAnsi="Poppins" w:cs="Poppins"/>
          <w:sz w:val="18"/>
          <w:szCs w:val="18"/>
          <w:lang w:eastAsia="en-GB"/>
        </w:rPr>
        <w:fldChar w:fldCharType="end"/>
      </w:r>
      <w:r w:rsidR="00115E75" w:rsidRPr="00E42614">
        <w:rPr>
          <w:rFonts w:ascii="Poppins" w:eastAsia="Times New Roman" w:hAnsi="Poppins" w:cs="Poppins"/>
          <w:sz w:val="18"/>
          <w:szCs w:val="18"/>
          <w:lang w:eastAsia="en-GB"/>
        </w:rPr>
      </w:r>
      <w:r w:rsidR="00115E75" w:rsidRPr="00E42614">
        <w:rPr>
          <w:rFonts w:ascii="Poppins" w:eastAsia="Times New Roman" w:hAnsi="Poppins" w:cs="Poppins"/>
          <w:sz w:val="18"/>
          <w:szCs w:val="18"/>
          <w:lang w:eastAsia="en-GB"/>
        </w:rPr>
        <w:fldChar w:fldCharType="separate"/>
      </w:r>
      <w:r w:rsidR="00115E75" w:rsidRPr="00E42614">
        <w:rPr>
          <w:rFonts w:ascii="Poppins" w:eastAsia="Times New Roman" w:hAnsi="Poppins" w:cs="Poppins"/>
          <w:noProof/>
          <w:sz w:val="18"/>
          <w:szCs w:val="18"/>
          <w:vertAlign w:val="superscript"/>
          <w:lang w:eastAsia="en-GB"/>
        </w:rPr>
        <w:t>(Phillip, 2024)</w:t>
      </w:r>
      <w:r w:rsidR="00115E75" w:rsidRPr="00E42614">
        <w:rPr>
          <w:rFonts w:ascii="Poppins" w:eastAsia="Times New Roman" w:hAnsi="Poppins" w:cs="Poppins"/>
          <w:sz w:val="18"/>
          <w:szCs w:val="18"/>
          <w:lang w:eastAsia="en-GB"/>
        </w:rPr>
        <w:fldChar w:fldCharType="end"/>
      </w:r>
    </w:p>
    <w:p w14:paraId="2C8E91A3" w14:textId="3A9FF411" w:rsidR="00926013" w:rsidRDefault="00926013" w:rsidP="00D87B2C">
      <w:pPr>
        <w:pStyle w:val="ListParagraph"/>
        <w:numPr>
          <w:ilvl w:val="0"/>
          <w:numId w:val="29"/>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One random venous glucose ≥11.1 mmol/L and overt symptoms</w:t>
      </w:r>
    </w:p>
    <w:p w14:paraId="1C76D82C" w14:textId="5BBFB80C" w:rsidR="00B55376" w:rsidRPr="00E42614" w:rsidRDefault="00B55376" w:rsidP="00D87B2C">
      <w:pPr>
        <w:pStyle w:val="ListParagraph"/>
        <w:numPr>
          <w:ilvl w:val="0"/>
          <w:numId w:val="29"/>
        </w:numPr>
        <w:shd w:val="clear" w:color="auto" w:fill="FFFFFF"/>
        <w:spacing w:before="120" w:after="120" w:line="240" w:lineRule="auto"/>
        <w:contextualSpacing w:val="0"/>
        <w:jc w:val="both"/>
        <w:rPr>
          <w:rFonts w:ascii="Poppins" w:eastAsia="Times New Roman" w:hAnsi="Poppins" w:cs="Poppins"/>
          <w:sz w:val="18"/>
          <w:szCs w:val="18"/>
          <w:lang w:eastAsia="en-GB"/>
        </w:rPr>
      </w:pPr>
      <w:r>
        <w:rPr>
          <w:rFonts w:ascii="Poppins" w:eastAsia="Times New Roman" w:hAnsi="Poppins" w:cs="Poppins"/>
          <w:sz w:val="18"/>
          <w:szCs w:val="18"/>
          <w:lang w:eastAsia="en-GB"/>
        </w:rPr>
        <w:t>120-min OGTT ≥11.1 mmol/L and/or two random venous glucose ≥11.1 mmol/L and/or FPG ≥7.0 mmol/L and/or laboratory-tested HbA1c ≥48 mmol/mol (≥6.5%)</w:t>
      </w:r>
    </w:p>
    <w:p w14:paraId="03515654" w14:textId="77777777" w:rsidR="00AD27C7" w:rsidRPr="00AD27C7" w:rsidRDefault="00AD27C7" w:rsidP="00206B1B">
      <w:pPr>
        <w:shd w:val="clear" w:color="auto" w:fill="FFFFFF"/>
        <w:spacing w:before="120" w:after="120" w:line="240" w:lineRule="auto"/>
        <w:jc w:val="both"/>
        <w:rPr>
          <w:rFonts w:ascii="Poppins" w:eastAsia="Times New Roman" w:hAnsi="Poppins" w:cs="Poppins"/>
          <w:sz w:val="18"/>
          <w:szCs w:val="18"/>
          <w:lang w:eastAsia="en-GB"/>
        </w:rPr>
      </w:pPr>
    </w:p>
    <w:p w14:paraId="449819B6" w14:textId="77777777" w:rsidR="00AD27C7" w:rsidRDefault="00AD27C7">
      <w:pPr>
        <w:rPr>
          <w:rFonts w:ascii="Poppins" w:eastAsia="Times New Roman" w:hAnsi="Poppins" w:cs="Poppins"/>
          <w:b/>
          <w:bCs/>
          <w:lang w:eastAsia="en-GB"/>
        </w:rPr>
      </w:pPr>
      <w:r>
        <w:rPr>
          <w:rFonts w:ascii="Poppins" w:eastAsia="Times New Roman" w:hAnsi="Poppins" w:cs="Poppins"/>
          <w:b/>
          <w:bCs/>
          <w:lang w:eastAsia="en-GB"/>
        </w:rPr>
        <w:br w:type="page"/>
      </w:r>
    </w:p>
    <w:p w14:paraId="00020325" w14:textId="575074A7" w:rsidR="000943FF" w:rsidRPr="00E42614" w:rsidRDefault="00E313C9" w:rsidP="004E03CB">
      <w:pPr>
        <w:spacing w:before="120" w:after="120" w:line="240" w:lineRule="auto"/>
        <w:rPr>
          <w:rFonts w:ascii="Poppins" w:eastAsia="Times New Roman" w:hAnsi="Poppins" w:cs="Poppins"/>
          <w:sz w:val="24"/>
          <w:szCs w:val="24"/>
          <w:lang w:eastAsia="en-GB"/>
        </w:rPr>
      </w:pPr>
      <w:r w:rsidRPr="00E42614">
        <w:rPr>
          <w:rFonts w:ascii="Poppins" w:eastAsia="Times New Roman" w:hAnsi="Poppins" w:cs="Poppins"/>
          <w:b/>
          <w:bCs/>
          <w:lang w:eastAsia="en-GB"/>
        </w:rPr>
        <w:lastRenderedPageBreak/>
        <w:t>Abbreviations</w:t>
      </w:r>
    </w:p>
    <w:tbl>
      <w:tblPr>
        <w:tblW w:w="8844" w:type="dxa"/>
        <w:tblCellSpacing w:w="15" w:type="dxa"/>
        <w:tblCellMar>
          <w:top w:w="15" w:type="dxa"/>
          <w:left w:w="15" w:type="dxa"/>
          <w:right w:w="15" w:type="dxa"/>
        </w:tblCellMar>
        <w:tblLook w:val="04A0" w:firstRow="1" w:lastRow="0" w:firstColumn="1" w:lastColumn="0" w:noHBand="0" w:noVBand="1"/>
      </w:tblPr>
      <w:tblGrid>
        <w:gridCol w:w="1701"/>
        <w:gridCol w:w="7143"/>
      </w:tblGrid>
      <w:tr w:rsidR="004C4993" w:rsidRPr="00E42614" w14:paraId="4A3DD520" w14:textId="77777777" w:rsidTr="00AD27C7">
        <w:trPr>
          <w:tblCellSpacing w:w="15" w:type="dxa"/>
        </w:trPr>
        <w:tc>
          <w:tcPr>
            <w:tcW w:w="1656" w:type="dxa"/>
            <w:shd w:val="clear" w:color="auto" w:fill="F0F1F6"/>
            <w:vAlign w:val="center"/>
            <w:hideMark/>
          </w:tcPr>
          <w:p w14:paraId="72CF5888"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ABCD</w:t>
            </w:r>
          </w:p>
        </w:tc>
        <w:tc>
          <w:tcPr>
            <w:tcW w:w="7098" w:type="dxa"/>
            <w:shd w:val="clear" w:color="auto" w:fill="F2F2F2" w:themeFill="background1" w:themeFillShade="F2"/>
            <w:vAlign w:val="center"/>
            <w:hideMark/>
          </w:tcPr>
          <w:p w14:paraId="178451AB"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Association of British Clinical Diabetologists</w:t>
            </w:r>
          </w:p>
        </w:tc>
      </w:tr>
      <w:tr w:rsidR="004C4993" w:rsidRPr="00E42614" w14:paraId="79A25E25" w14:textId="77777777" w:rsidTr="00AD27C7">
        <w:trPr>
          <w:tblCellSpacing w:w="15" w:type="dxa"/>
        </w:trPr>
        <w:tc>
          <w:tcPr>
            <w:tcW w:w="1656" w:type="dxa"/>
            <w:shd w:val="clear" w:color="auto" w:fill="F0F1F6"/>
            <w:vAlign w:val="center"/>
            <w:hideMark/>
          </w:tcPr>
          <w:p w14:paraId="41261BD2"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ALT</w:t>
            </w:r>
          </w:p>
        </w:tc>
        <w:tc>
          <w:tcPr>
            <w:tcW w:w="7098" w:type="dxa"/>
            <w:shd w:val="clear" w:color="auto" w:fill="F2F2F2" w:themeFill="background1" w:themeFillShade="F2"/>
            <w:vAlign w:val="center"/>
            <w:hideMark/>
          </w:tcPr>
          <w:p w14:paraId="6E06100B"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Alanine aminotransferase</w:t>
            </w:r>
          </w:p>
        </w:tc>
      </w:tr>
      <w:tr w:rsidR="004C4993" w:rsidRPr="00E42614" w14:paraId="2C998529" w14:textId="77777777" w:rsidTr="00AD27C7">
        <w:trPr>
          <w:tblCellSpacing w:w="15" w:type="dxa"/>
        </w:trPr>
        <w:tc>
          <w:tcPr>
            <w:tcW w:w="1656" w:type="dxa"/>
            <w:shd w:val="clear" w:color="auto" w:fill="F0F1F6"/>
            <w:vAlign w:val="center"/>
            <w:hideMark/>
          </w:tcPr>
          <w:p w14:paraId="65029DD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AST</w:t>
            </w:r>
          </w:p>
        </w:tc>
        <w:tc>
          <w:tcPr>
            <w:tcW w:w="7098" w:type="dxa"/>
            <w:shd w:val="clear" w:color="auto" w:fill="F2F2F2" w:themeFill="background1" w:themeFillShade="F2"/>
            <w:vAlign w:val="center"/>
            <w:hideMark/>
          </w:tcPr>
          <w:p w14:paraId="306EFAD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Aspartate aminotransferase</w:t>
            </w:r>
          </w:p>
        </w:tc>
      </w:tr>
      <w:tr w:rsidR="004C4993" w:rsidRPr="00E42614" w14:paraId="233F677E" w14:textId="77777777" w:rsidTr="00AD27C7">
        <w:trPr>
          <w:tblCellSpacing w:w="15" w:type="dxa"/>
        </w:trPr>
        <w:tc>
          <w:tcPr>
            <w:tcW w:w="1656" w:type="dxa"/>
            <w:shd w:val="clear" w:color="auto" w:fill="F0F1F6"/>
            <w:vAlign w:val="center"/>
            <w:hideMark/>
          </w:tcPr>
          <w:p w14:paraId="5B258B7D"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BSPED</w:t>
            </w:r>
          </w:p>
        </w:tc>
        <w:tc>
          <w:tcPr>
            <w:tcW w:w="7098" w:type="dxa"/>
            <w:shd w:val="clear" w:color="auto" w:fill="F2F2F2" w:themeFill="background1" w:themeFillShade="F2"/>
            <w:vAlign w:val="center"/>
            <w:hideMark/>
          </w:tcPr>
          <w:p w14:paraId="4A65176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British Society of Paediatric Endocrinology and Diabetes</w:t>
            </w:r>
          </w:p>
        </w:tc>
      </w:tr>
      <w:tr w:rsidR="004C4993" w:rsidRPr="00E42614" w14:paraId="4662EC72" w14:textId="77777777" w:rsidTr="00AD27C7">
        <w:trPr>
          <w:tblCellSpacing w:w="15" w:type="dxa"/>
        </w:trPr>
        <w:tc>
          <w:tcPr>
            <w:tcW w:w="1656" w:type="dxa"/>
            <w:shd w:val="clear" w:color="auto" w:fill="F0F1F6"/>
            <w:vAlign w:val="center"/>
            <w:hideMark/>
          </w:tcPr>
          <w:p w14:paraId="52721288"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CGM</w:t>
            </w:r>
          </w:p>
        </w:tc>
        <w:tc>
          <w:tcPr>
            <w:tcW w:w="7098" w:type="dxa"/>
            <w:shd w:val="clear" w:color="auto" w:fill="F2F2F2" w:themeFill="background1" w:themeFillShade="F2"/>
            <w:vAlign w:val="center"/>
            <w:hideMark/>
          </w:tcPr>
          <w:p w14:paraId="7D3DC95D"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Continuous glucose monitoring</w:t>
            </w:r>
          </w:p>
        </w:tc>
      </w:tr>
      <w:tr w:rsidR="004C4993" w:rsidRPr="00E42614" w14:paraId="44535F51" w14:textId="77777777" w:rsidTr="00AD27C7">
        <w:trPr>
          <w:tblCellSpacing w:w="15" w:type="dxa"/>
        </w:trPr>
        <w:tc>
          <w:tcPr>
            <w:tcW w:w="1656" w:type="dxa"/>
            <w:shd w:val="clear" w:color="auto" w:fill="F0F1F6"/>
            <w:vAlign w:val="center"/>
            <w:hideMark/>
          </w:tcPr>
          <w:p w14:paraId="5C15AE66"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CMV</w:t>
            </w:r>
          </w:p>
        </w:tc>
        <w:tc>
          <w:tcPr>
            <w:tcW w:w="7098" w:type="dxa"/>
            <w:shd w:val="clear" w:color="auto" w:fill="F2F2F2" w:themeFill="background1" w:themeFillShade="F2"/>
            <w:vAlign w:val="center"/>
            <w:hideMark/>
          </w:tcPr>
          <w:p w14:paraId="46D068DA"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Cytomegalovirus</w:t>
            </w:r>
          </w:p>
        </w:tc>
      </w:tr>
      <w:tr w:rsidR="004C4993" w:rsidRPr="00E42614" w14:paraId="4F243640" w14:textId="77777777" w:rsidTr="00AD27C7">
        <w:trPr>
          <w:tblCellSpacing w:w="15" w:type="dxa"/>
        </w:trPr>
        <w:tc>
          <w:tcPr>
            <w:tcW w:w="1656" w:type="dxa"/>
            <w:shd w:val="clear" w:color="auto" w:fill="F0F1F6"/>
            <w:vAlign w:val="center"/>
            <w:hideMark/>
          </w:tcPr>
          <w:p w14:paraId="4D7C8463"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CRS</w:t>
            </w:r>
          </w:p>
        </w:tc>
        <w:tc>
          <w:tcPr>
            <w:tcW w:w="7098" w:type="dxa"/>
            <w:shd w:val="clear" w:color="auto" w:fill="F2F2F2" w:themeFill="background1" w:themeFillShade="F2"/>
            <w:vAlign w:val="center"/>
            <w:hideMark/>
          </w:tcPr>
          <w:p w14:paraId="3CEF9B43"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Cytokine release syndrome</w:t>
            </w:r>
          </w:p>
        </w:tc>
      </w:tr>
      <w:tr w:rsidR="004C4993" w:rsidRPr="00E42614" w14:paraId="080103D1" w14:textId="77777777" w:rsidTr="00AD27C7">
        <w:trPr>
          <w:tblCellSpacing w:w="15" w:type="dxa"/>
        </w:trPr>
        <w:tc>
          <w:tcPr>
            <w:tcW w:w="1656" w:type="dxa"/>
            <w:shd w:val="clear" w:color="auto" w:fill="F0F1F6"/>
            <w:vAlign w:val="center"/>
            <w:hideMark/>
          </w:tcPr>
          <w:p w14:paraId="3B421815"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EBV</w:t>
            </w:r>
          </w:p>
        </w:tc>
        <w:tc>
          <w:tcPr>
            <w:tcW w:w="7098" w:type="dxa"/>
            <w:shd w:val="clear" w:color="auto" w:fill="F2F2F2" w:themeFill="background1" w:themeFillShade="F2"/>
            <w:vAlign w:val="center"/>
            <w:hideMark/>
          </w:tcPr>
          <w:p w14:paraId="71A2A781"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Epstein-Barr virus</w:t>
            </w:r>
          </w:p>
        </w:tc>
      </w:tr>
      <w:tr w:rsidR="004C4993" w:rsidRPr="00E42614" w14:paraId="2B42A48A" w14:textId="77777777" w:rsidTr="00AD27C7">
        <w:trPr>
          <w:tblCellSpacing w:w="15" w:type="dxa"/>
        </w:trPr>
        <w:tc>
          <w:tcPr>
            <w:tcW w:w="1656" w:type="dxa"/>
            <w:shd w:val="clear" w:color="auto" w:fill="F0F1F6"/>
            <w:vAlign w:val="center"/>
            <w:hideMark/>
          </w:tcPr>
          <w:p w14:paraId="0182943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EPMA</w:t>
            </w:r>
          </w:p>
        </w:tc>
        <w:tc>
          <w:tcPr>
            <w:tcW w:w="7098" w:type="dxa"/>
            <w:shd w:val="clear" w:color="auto" w:fill="F2F2F2" w:themeFill="background1" w:themeFillShade="F2"/>
            <w:vAlign w:val="center"/>
            <w:hideMark/>
          </w:tcPr>
          <w:p w14:paraId="097D6970"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Electronic prescribing and medicines administration</w:t>
            </w:r>
          </w:p>
        </w:tc>
      </w:tr>
      <w:tr w:rsidR="004C4993" w:rsidRPr="00E42614" w14:paraId="3DA3C8BA" w14:textId="77777777" w:rsidTr="00AD27C7">
        <w:trPr>
          <w:tblCellSpacing w:w="15" w:type="dxa"/>
        </w:trPr>
        <w:tc>
          <w:tcPr>
            <w:tcW w:w="1656" w:type="dxa"/>
            <w:shd w:val="clear" w:color="auto" w:fill="F0F1F6"/>
            <w:vAlign w:val="center"/>
            <w:hideMark/>
          </w:tcPr>
          <w:p w14:paraId="36AEFF9D"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FBC</w:t>
            </w:r>
          </w:p>
        </w:tc>
        <w:tc>
          <w:tcPr>
            <w:tcW w:w="7098" w:type="dxa"/>
            <w:shd w:val="clear" w:color="auto" w:fill="F2F2F2" w:themeFill="background1" w:themeFillShade="F2"/>
            <w:vAlign w:val="center"/>
            <w:hideMark/>
          </w:tcPr>
          <w:p w14:paraId="7290F213"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Full blood count</w:t>
            </w:r>
          </w:p>
        </w:tc>
      </w:tr>
      <w:tr w:rsidR="004C4993" w:rsidRPr="00E42614" w14:paraId="61F6761D" w14:textId="77777777" w:rsidTr="00AD27C7">
        <w:trPr>
          <w:tblCellSpacing w:w="15" w:type="dxa"/>
        </w:trPr>
        <w:tc>
          <w:tcPr>
            <w:tcW w:w="1656" w:type="dxa"/>
            <w:shd w:val="clear" w:color="auto" w:fill="F0F1F6"/>
            <w:vAlign w:val="center"/>
          </w:tcPr>
          <w:p w14:paraId="4F584AEE"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FPG</w:t>
            </w:r>
          </w:p>
        </w:tc>
        <w:tc>
          <w:tcPr>
            <w:tcW w:w="7098" w:type="dxa"/>
            <w:shd w:val="clear" w:color="auto" w:fill="F2F2F2" w:themeFill="background1" w:themeFillShade="F2"/>
            <w:vAlign w:val="center"/>
          </w:tcPr>
          <w:p w14:paraId="093F719E"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Fasting plasma glucose</w:t>
            </w:r>
          </w:p>
        </w:tc>
      </w:tr>
      <w:tr w:rsidR="004C4993" w:rsidRPr="00E42614" w14:paraId="403ED748" w14:textId="77777777" w:rsidTr="00AD27C7">
        <w:trPr>
          <w:tblCellSpacing w:w="15" w:type="dxa"/>
        </w:trPr>
        <w:tc>
          <w:tcPr>
            <w:tcW w:w="1656" w:type="dxa"/>
            <w:shd w:val="clear" w:color="auto" w:fill="F0F1F6"/>
            <w:vAlign w:val="center"/>
            <w:hideMark/>
          </w:tcPr>
          <w:p w14:paraId="471E2DD2"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GP</w:t>
            </w:r>
          </w:p>
        </w:tc>
        <w:tc>
          <w:tcPr>
            <w:tcW w:w="7098" w:type="dxa"/>
            <w:shd w:val="clear" w:color="auto" w:fill="F2F2F2" w:themeFill="background1" w:themeFillShade="F2"/>
            <w:vAlign w:val="center"/>
            <w:hideMark/>
          </w:tcPr>
          <w:p w14:paraId="6BD0B1B8"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General practitioner</w:t>
            </w:r>
          </w:p>
        </w:tc>
      </w:tr>
      <w:tr w:rsidR="004C4993" w:rsidRPr="00E42614" w14:paraId="4B0127E4" w14:textId="77777777" w:rsidTr="00AD27C7">
        <w:trPr>
          <w:tblCellSpacing w:w="15" w:type="dxa"/>
        </w:trPr>
        <w:tc>
          <w:tcPr>
            <w:tcW w:w="1656" w:type="dxa"/>
            <w:shd w:val="clear" w:color="auto" w:fill="F0F1F6"/>
            <w:vAlign w:val="center"/>
            <w:hideMark/>
          </w:tcPr>
          <w:p w14:paraId="45D5AD5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HbA1c</w:t>
            </w:r>
          </w:p>
        </w:tc>
        <w:tc>
          <w:tcPr>
            <w:tcW w:w="7098" w:type="dxa"/>
            <w:shd w:val="clear" w:color="auto" w:fill="F2F2F2" w:themeFill="background1" w:themeFillShade="F2"/>
            <w:vAlign w:val="center"/>
            <w:hideMark/>
          </w:tcPr>
          <w:p w14:paraId="3166ACD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Glycated haemoglobin</w:t>
            </w:r>
          </w:p>
        </w:tc>
      </w:tr>
      <w:tr w:rsidR="003F3494" w:rsidRPr="00E42614" w14:paraId="6E069F6E" w14:textId="77777777" w:rsidTr="00AD27C7">
        <w:trPr>
          <w:tblCellSpacing w:w="15" w:type="dxa"/>
        </w:trPr>
        <w:tc>
          <w:tcPr>
            <w:tcW w:w="1656" w:type="dxa"/>
            <w:shd w:val="clear" w:color="auto" w:fill="F0F1F6"/>
            <w:vAlign w:val="center"/>
          </w:tcPr>
          <w:p w14:paraId="25A16F2F" w14:textId="52E8876E" w:rsidR="003F3494" w:rsidRPr="00CF38B1" w:rsidRDefault="003F3494"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HIV</w:t>
            </w:r>
          </w:p>
        </w:tc>
        <w:tc>
          <w:tcPr>
            <w:tcW w:w="7098" w:type="dxa"/>
            <w:shd w:val="clear" w:color="auto" w:fill="F2F2F2" w:themeFill="background1" w:themeFillShade="F2"/>
            <w:vAlign w:val="center"/>
          </w:tcPr>
          <w:p w14:paraId="3D33245C" w14:textId="6F9E1C71" w:rsidR="003F3494" w:rsidRPr="00CF38B1" w:rsidRDefault="003F3494"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Human immunodeficiency virus</w:t>
            </w:r>
          </w:p>
        </w:tc>
      </w:tr>
      <w:tr w:rsidR="004C4993" w:rsidRPr="00E42614" w14:paraId="4E8D5D29" w14:textId="77777777" w:rsidTr="00AD27C7">
        <w:trPr>
          <w:tblCellSpacing w:w="15" w:type="dxa"/>
        </w:trPr>
        <w:tc>
          <w:tcPr>
            <w:tcW w:w="1656" w:type="dxa"/>
            <w:shd w:val="clear" w:color="auto" w:fill="F0F1F6"/>
            <w:vAlign w:val="center"/>
            <w:hideMark/>
          </w:tcPr>
          <w:p w14:paraId="06643EBB"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HDU</w:t>
            </w:r>
          </w:p>
        </w:tc>
        <w:tc>
          <w:tcPr>
            <w:tcW w:w="7098" w:type="dxa"/>
            <w:shd w:val="clear" w:color="auto" w:fill="F2F2F2" w:themeFill="background1" w:themeFillShade="F2"/>
            <w:vAlign w:val="center"/>
            <w:hideMark/>
          </w:tcPr>
          <w:p w14:paraId="4EC74ACC"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High dependency unit</w:t>
            </w:r>
          </w:p>
        </w:tc>
      </w:tr>
      <w:tr w:rsidR="004C4993" w:rsidRPr="00E42614" w14:paraId="04A23283" w14:textId="77777777" w:rsidTr="00AD27C7">
        <w:trPr>
          <w:tblCellSpacing w:w="15" w:type="dxa"/>
        </w:trPr>
        <w:tc>
          <w:tcPr>
            <w:tcW w:w="1656" w:type="dxa"/>
            <w:shd w:val="clear" w:color="auto" w:fill="F0F1F6"/>
            <w:vAlign w:val="center"/>
            <w:hideMark/>
          </w:tcPr>
          <w:p w14:paraId="203BBAB3"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ICU</w:t>
            </w:r>
          </w:p>
        </w:tc>
        <w:tc>
          <w:tcPr>
            <w:tcW w:w="7098" w:type="dxa"/>
            <w:shd w:val="clear" w:color="auto" w:fill="F2F2F2" w:themeFill="background1" w:themeFillShade="F2"/>
            <w:vAlign w:val="center"/>
            <w:hideMark/>
          </w:tcPr>
          <w:p w14:paraId="2E761F79"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Intensive care unit</w:t>
            </w:r>
          </w:p>
        </w:tc>
      </w:tr>
      <w:tr w:rsidR="00E5604A" w:rsidRPr="00E42614" w14:paraId="352840D4" w14:textId="77777777" w:rsidTr="00AD27C7">
        <w:trPr>
          <w:tblCellSpacing w:w="15" w:type="dxa"/>
        </w:trPr>
        <w:tc>
          <w:tcPr>
            <w:tcW w:w="1656" w:type="dxa"/>
            <w:shd w:val="clear" w:color="auto" w:fill="F0F1F6"/>
            <w:vAlign w:val="center"/>
          </w:tcPr>
          <w:p w14:paraId="63672B88" w14:textId="741358BA" w:rsidR="00E5604A" w:rsidRPr="00CF38B1" w:rsidRDefault="00E5604A"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IgM</w:t>
            </w:r>
          </w:p>
        </w:tc>
        <w:tc>
          <w:tcPr>
            <w:tcW w:w="7098" w:type="dxa"/>
            <w:shd w:val="clear" w:color="auto" w:fill="F2F2F2" w:themeFill="background1" w:themeFillShade="F2"/>
            <w:vAlign w:val="center"/>
          </w:tcPr>
          <w:p w14:paraId="07FDF838" w14:textId="410192B0" w:rsidR="00E5604A" w:rsidRPr="00CF38B1" w:rsidRDefault="00E5604A"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Immunoglobulin M</w:t>
            </w:r>
          </w:p>
        </w:tc>
      </w:tr>
      <w:tr w:rsidR="004C4993" w:rsidRPr="00E42614" w14:paraId="4961D0D6" w14:textId="77777777" w:rsidTr="00AD27C7">
        <w:trPr>
          <w:tblCellSpacing w:w="15" w:type="dxa"/>
        </w:trPr>
        <w:tc>
          <w:tcPr>
            <w:tcW w:w="1656" w:type="dxa"/>
            <w:shd w:val="clear" w:color="auto" w:fill="F0F1F6"/>
            <w:vAlign w:val="center"/>
            <w:hideMark/>
          </w:tcPr>
          <w:p w14:paraId="5083AEBB"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IV</w:t>
            </w:r>
          </w:p>
        </w:tc>
        <w:tc>
          <w:tcPr>
            <w:tcW w:w="7098" w:type="dxa"/>
            <w:shd w:val="clear" w:color="auto" w:fill="F2F2F2" w:themeFill="background1" w:themeFillShade="F2"/>
            <w:vAlign w:val="center"/>
            <w:hideMark/>
          </w:tcPr>
          <w:p w14:paraId="66D30B3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Intravenous</w:t>
            </w:r>
          </w:p>
        </w:tc>
      </w:tr>
      <w:tr w:rsidR="004C4993" w:rsidRPr="00E42614" w14:paraId="05952052" w14:textId="77777777" w:rsidTr="00AD27C7">
        <w:trPr>
          <w:tblCellSpacing w:w="15" w:type="dxa"/>
        </w:trPr>
        <w:tc>
          <w:tcPr>
            <w:tcW w:w="1656" w:type="dxa"/>
            <w:shd w:val="clear" w:color="auto" w:fill="F0F1F6"/>
            <w:vAlign w:val="center"/>
            <w:hideMark/>
          </w:tcPr>
          <w:p w14:paraId="489580C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LFTs</w:t>
            </w:r>
          </w:p>
        </w:tc>
        <w:tc>
          <w:tcPr>
            <w:tcW w:w="7098" w:type="dxa"/>
            <w:shd w:val="clear" w:color="auto" w:fill="F2F2F2" w:themeFill="background1" w:themeFillShade="F2"/>
            <w:vAlign w:val="center"/>
            <w:hideMark/>
          </w:tcPr>
          <w:p w14:paraId="2A792BE1"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Liver function tests</w:t>
            </w:r>
          </w:p>
        </w:tc>
      </w:tr>
      <w:tr w:rsidR="004C4993" w:rsidRPr="00E42614" w14:paraId="2E56D27E" w14:textId="77777777" w:rsidTr="00AD27C7">
        <w:trPr>
          <w:tblCellSpacing w:w="15" w:type="dxa"/>
        </w:trPr>
        <w:tc>
          <w:tcPr>
            <w:tcW w:w="1656" w:type="dxa"/>
            <w:shd w:val="clear" w:color="auto" w:fill="F0F1F6"/>
            <w:vAlign w:val="center"/>
            <w:hideMark/>
          </w:tcPr>
          <w:p w14:paraId="4505AB8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MHRA</w:t>
            </w:r>
          </w:p>
        </w:tc>
        <w:tc>
          <w:tcPr>
            <w:tcW w:w="7098" w:type="dxa"/>
            <w:shd w:val="clear" w:color="auto" w:fill="F2F2F2" w:themeFill="background1" w:themeFillShade="F2"/>
            <w:vAlign w:val="center"/>
            <w:hideMark/>
          </w:tcPr>
          <w:p w14:paraId="059132CF"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Medicines and Healthcare products Regulatory Agency</w:t>
            </w:r>
          </w:p>
        </w:tc>
      </w:tr>
      <w:tr w:rsidR="004C4993" w:rsidRPr="00E42614" w14:paraId="472A252E" w14:textId="77777777" w:rsidTr="00AD27C7">
        <w:trPr>
          <w:tblCellSpacing w:w="15" w:type="dxa"/>
        </w:trPr>
        <w:tc>
          <w:tcPr>
            <w:tcW w:w="1656" w:type="dxa"/>
            <w:shd w:val="clear" w:color="auto" w:fill="F0F1F6"/>
            <w:vAlign w:val="center"/>
            <w:hideMark/>
          </w:tcPr>
          <w:p w14:paraId="53D5F474"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NICE</w:t>
            </w:r>
          </w:p>
        </w:tc>
        <w:tc>
          <w:tcPr>
            <w:tcW w:w="7098" w:type="dxa"/>
            <w:shd w:val="clear" w:color="auto" w:fill="F2F2F2" w:themeFill="background1" w:themeFillShade="F2"/>
            <w:vAlign w:val="center"/>
            <w:hideMark/>
          </w:tcPr>
          <w:p w14:paraId="520FE752"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National Institute for Health and Care Excellence</w:t>
            </w:r>
          </w:p>
        </w:tc>
      </w:tr>
      <w:tr w:rsidR="004C4993" w:rsidRPr="00E42614" w14:paraId="10DA99C8" w14:textId="77777777" w:rsidTr="00AD27C7">
        <w:trPr>
          <w:tblCellSpacing w:w="15" w:type="dxa"/>
        </w:trPr>
        <w:tc>
          <w:tcPr>
            <w:tcW w:w="1656" w:type="dxa"/>
            <w:shd w:val="clear" w:color="auto" w:fill="F0F1F6"/>
            <w:vAlign w:val="center"/>
            <w:hideMark/>
          </w:tcPr>
          <w:p w14:paraId="36E1413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NSAID</w:t>
            </w:r>
          </w:p>
        </w:tc>
        <w:tc>
          <w:tcPr>
            <w:tcW w:w="7098" w:type="dxa"/>
            <w:shd w:val="clear" w:color="auto" w:fill="F2F2F2" w:themeFill="background1" w:themeFillShade="F2"/>
            <w:vAlign w:val="center"/>
            <w:hideMark/>
          </w:tcPr>
          <w:p w14:paraId="7A90675F"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Nonsteroidal anti-inflammatory drug</w:t>
            </w:r>
          </w:p>
        </w:tc>
      </w:tr>
      <w:tr w:rsidR="004C4993" w:rsidRPr="00E42614" w14:paraId="56229E59" w14:textId="77777777" w:rsidTr="00AD27C7">
        <w:trPr>
          <w:tblCellSpacing w:w="15" w:type="dxa"/>
        </w:trPr>
        <w:tc>
          <w:tcPr>
            <w:tcW w:w="1656" w:type="dxa"/>
            <w:shd w:val="clear" w:color="auto" w:fill="F0F1F6"/>
            <w:vAlign w:val="center"/>
          </w:tcPr>
          <w:p w14:paraId="2D4A4149"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OGTT</w:t>
            </w:r>
          </w:p>
        </w:tc>
        <w:tc>
          <w:tcPr>
            <w:tcW w:w="7098" w:type="dxa"/>
            <w:shd w:val="clear" w:color="auto" w:fill="F2F2F2" w:themeFill="background1" w:themeFillShade="F2"/>
            <w:vAlign w:val="center"/>
          </w:tcPr>
          <w:p w14:paraId="14B746C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Oral glucose tolerance test</w:t>
            </w:r>
          </w:p>
        </w:tc>
      </w:tr>
      <w:tr w:rsidR="00E5604A" w:rsidRPr="00E42614" w14:paraId="0A041F16" w14:textId="77777777" w:rsidTr="00AD27C7">
        <w:trPr>
          <w:tblCellSpacing w:w="15" w:type="dxa"/>
        </w:trPr>
        <w:tc>
          <w:tcPr>
            <w:tcW w:w="1656" w:type="dxa"/>
            <w:shd w:val="clear" w:color="auto" w:fill="F0F1F6"/>
            <w:vAlign w:val="center"/>
          </w:tcPr>
          <w:p w14:paraId="1A5EDEEE" w14:textId="07486BA2" w:rsidR="00E5604A" w:rsidRPr="00CF38B1" w:rsidRDefault="00E5604A"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PICU</w:t>
            </w:r>
          </w:p>
        </w:tc>
        <w:tc>
          <w:tcPr>
            <w:tcW w:w="7098" w:type="dxa"/>
            <w:shd w:val="clear" w:color="auto" w:fill="F2F2F2" w:themeFill="background1" w:themeFillShade="F2"/>
            <w:vAlign w:val="center"/>
          </w:tcPr>
          <w:p w14:paraId="449B0463" w14:textId="6112059E" w:rsidR="00E5604A" w:rsidRPr="00CF38B1" w:rsidRDefault="001B1738"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Paediatric intensive care unit</w:t>
            </w:r>
          </w:p>
        </w:tc>
      </w:tr>
      <w:tr w:rsidR="00E5321C" w:rsidRPr="00E42614" w14:paraId="741D6012" w14:textId="77777777" w:rsidTr="00AD27C7">
        <w:trPr>
          <w:tblCellSpacing w:w="15" w:type="dxa"/>
        </w:trPr>
        <w:tc>
          <w:tcPr>
            <w:tcW w:w="1656" w:type="dxa"/>
            <w:shd w:val="clear" w:color="auto" w:fill="F0F1F6"/>
            <w:vAlign w:val="center"/>
          </w:tcPr>
          <w:p w14:paraId="5B3026FA" w14:textId="236497C7" w:rsidR="00E5321C" w:rsidRPr="00CF38B1" w:rsidRDefault="00E5321C"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PCR</w:t>
            </w:r>
          </w:p>
        </w:tc>
        <w:tc>
          <w:tcPr>
            <w:tcW w:w="7098" w:type="dxa"/>
            <w:shd w:val="clear" w:color="auto" w:fill="F2F2F2" w:themeFill="background1" w:themeFillShade="F2"/>
            <w:vAlign w:val="center"/>
          </w:tcPr>
          <w:p w14:paraId="61542507" w14:textId="3B39FA87" w:rsidR="00E5321C" w:rsidRPr="00CF38B1" w:rsidRDefault="00E5321C"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Polymerase chain reaction</w:t>
            </w:r>
          </w:p>
        </w:tc>
      </w:tr>
      <w:tr w:rsidR="004C4993" w:rsidRPr="00E42614" w14:paraId="4AD7BF4B" w14:textId="77777777" w:rsidTr="00AD27C7">
        <w:trPr>
          <w:tblCellSpacing w:w="15" w:type="dxa"/>
        </w:trPr>
        <w:tc>
          <w:tcPr>
            <w:tcW w:w="1656" w:type="dxa"/>
            <w:shd w:val="clear" w:color="auto" w:fill="F0F1F6"/>
            <w:vAlign w:val="center"/>
            <w:hideMark/>
          </w:tcPr>
          <w:p w14:paraId="0921B1A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SOP</w:t>
            </w:r>
          </w:p>
        </w:tc>
        <w:tc>
          <w:tcPr>
            <w:tcW w:w="7098" w:type="dxa"/>
            <w:shd w:val="clear" w:color="auto" w:fill="F2F2F2" w:themeFill="background1" w:themeFillShade="F2"/>
            <w:vAlign w:val="center"/>
            <w:hideMark/>
          </w:tcPr>
          <w:p w14:paraId="6CA9D831"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Standard operating procedure</w:t>
            </w:r>
          </w:p>
        </w:tc>
      </w:tr>
      <w:tr w:rsidR="004C4993" w:rsidRPr="00E42614" w14:paraId="043E3668" w14:textId="77777777" w:rsidTr="00AD27C7">
        <w:trPr>
          <w:tblCellSpacing w:w="15" w:type="dxa"/>
        </w:trPr>
        <w:tc>
          <w:tcPr>
            <w:tcW w:w="1656" w:type="dxa"/>
            <w:shd w:val="clear" w:color="auto" w:fill="F0F1F6"/>
            <w:vAlign w:val="center"/>
            <w:hideMark/>
          </w:tcPr>
          <w:p w14:paraId="51D284E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SmPC</w:t>
            </w:r>
          </w:p>
        </w:tc>
        <w:tc>
          <w:tcPr>
            <w:tcW w:w="7098" w:type="dxa"/>
            <w:shd w:val="clear" w:color="auto" w:fill="F2F2F2" w:themeFill="background1" w:themeFillShade="F2"/>
            <w:vAlign w:val="center"/>
            <w:hideMark/>
          </w:tcPr>
          <w:p w14:paraId="14405D0B"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Summary of Product Characteristics</w:t>
            </w:r>
          </w:p>
        </w:tc>
      </w:tr>
      <w:tr w:rsidR="004C4993" w:rsidRPr="00E42614" w14:paraId="7958C5E5" w14:textId="77777777" w:rsidTr="00AD27C7">
        <w:trPr>
          <w:tblCellSpacing w:w="15" w:type="dxa"/>
        </w:trPr>
        <w:tc>
          <w:tcPr>
            <w:tcW w:w="1656" w:type="dxa"/>
            <w:shd w:val="clear" w:color="auto" w:fill="F0F1F6"/>
            <w:vAlign w:val="center"/>
            <w:hideMark/>
          </w:tcPr>
          <w:p w14:paraId="61B9EB3A"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T1D</w:t>
            </w:r>
          </w:p>
        </w:tc>
        <w:tc>
          <w:tcPr>
            <w:tcW w:w="7098" w:type="dxa"/>
            <w:shd w:val="clear" w:color="auto" w:fill="F2F2F2" w:themeFill="background1" w:themeFillShade="F2"/>
            <w:vAlign w:val="center"/>
            <w:hideMark/>
          </w:tcPr>
          <w:p w14:paraId="3481F9CC"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Type 1 diabetes</w:t>
            </w:r>
          </w:p>
        </w:tc>
      </w:tr>
      <w:tr w:rsidR="00E5321C" w:rsidRPr="00E42614" w14:paraId="5D76E357" w14:textId="77777777" w:rsidTr="00AD27C7">
        <w:trPr>
          <w:tblCellSpacing w:w="15" w:type="dxa"/>
        </w:trPr>
        <w:tc>
          <w:tcPr>
            <w:tcW w:w="1656" w:type="dxa"/>
            <w:shd w:val="clear" w:color="auto" w:fill="F2F2F2" w:themeFill="background1" w:themeFillShade="F2"/>
            <w:vAlign w:val="center"/>
          </w:tcPr>
          <w:p w14:paraId="5A5A2634" w14:textId="43B812B6" w:rsidR="00E5321C" w:rsidRPr="00CF38B1" w:rsidRDefault="00E5321C"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U&amp;E</w:t>
            </w:r>
          </w:p>
        </w:tc>
        <w:tc>
          <w:tcPr>
            <w:tcW w:w="7098" w:type="dxa"/>
            <w:shd w:val="clear" w:color="auto" w:fill="F2F2F2" w:themeFill="background1" w:themeFillShade="F2"/>
            <w:vAlign w:val="center"/>
          </w:tcPr>
          <w:p w14:paraId="4F788443" w14:textId="279F4B60" w:rsidR="00E5321C" w:rsidRPr="00CF38B1" w:rsidRDefault="00E5321C"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Urea and electrolytes</w:t>
            </w:r>
          </w:p>
        </w:tc>
      </w:tr>
      <w:tr w:rsidR="004C4993" w:rsidRPr="00E42614" w14:paraId="34E34F96" w14:textId="77777777" w:rsidTr="00AD27C7">
        <w:trPr>
          <w:tblCellSpacing w:w="15" w:type="dxa"/>
        </w:trPr>
        <w:tc>
          <w:tcPr>
            <w:tcW w:w="1656" w:type="dxa"/>
            <w:shd w:val="clear" w:color="auto" w:fill="F2F2F2" w:themeFill="background1" w:themeFillShade="F2"/>
            <w:vAlign w:val="center"/>
            <w:hideMark/>
          </w:tcPr>
          <w:p w14:paraId="69BC6FC4"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ULN</w:t>
            </w:r>
          </w:p>
        </w:tc>
        <w:tc>
          <w:tcPr>
            <w:tcW w:w="7098" w:type="dxa"/>
            <w:shd w:val="clear" w:color="auto" w:fill="F2F2F2" w:themeFill="background1" w:themeFillShade="F2"/>
            <w:vAlign w:val="center"/>
            <w:hideMark/>
          </w:tcPr>
          <w:p w14:paraId="7D18A0F2"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Upper limit of normal</w:t>
            </w:r>
          </w:p>
        </w:tc>
      </w:tr>
      <w:tr w:rsidR="00704D7B" w:rsidRPr="00E42614" w14:paraId="0BB8D153" w14:textId="77777777" w:rsidTr="00AD27C7">
        <w:trPr>
          <w:tblCellSpacing w:w="15" w:type="dxa"/>
        </w:trPr>
        <w:tc>
          <w:tcPr>
            <w:tcW w:w="1656" w:type="dxa"/>
            <w:shd w:val="clear" w:color="auto" w:fill="F2F2F2" w:themeFill="background1" w:themeFillShade="F2"/>
            <w:vAlign w:val="center"/>
          </w:tcPr>
          <w:p w14:paraId="0DBB6859" w14:textId="079F0760" w:rsidR="00704D7B" w:rsidRPr="00CF38B1" w:rsidRDefault="00704D7B" w:rsidP="009A7889">
            <w:pPr>
              <w:spacing w:before="40" w:after="40" w:line="240" w:lineRule="auto"/>
              <w:ind w:left="57"/>
              <w:rPr>
                <w:rFonts w:ascii="Poppins" w:eastAsia="Times New Roman" w:hAnsi="Poppins" w:cs="Poppins"/>
                <w:b/>
                <w:bCs/>
                <w:color w:val="0023C8"/>
                <w:sz w:val="18"/>
                <w:szCs w:val="18"/>
                <w:lang w:eastAsia="en-GB"/>
              </w:rPr>
            </w:pPr>
            <w:r>
              <w:rPr>
                <w:rFonts w:ascii="Poppins" w:eastAsia="Times New Roman" w:hAnsi="Poppins" w:cs="Poppins"/>
                <w:b/>
                <w:bCs/>
                <w:color w:val="0023C8"/>
                <w:sz w:val="18"/>
                <w:szCs w:val="18"/>
                <w:lang w:eastAsia="en-GB"/>
              </w:rPr>
              <w:t>URTI</w:t>
            </w:r>
          </w:p>
        </w:tc>
        <w:tc>
          <w:tcPr>
            <w:tcW w:w="7098" w:type="dxa"/>
            <w:shd w:val="clear" w:color="auto" w:fill="F2F2F2" w:themeFill="background1" w:themeFillShade="F2"/>
            <w:vAlign w:val="center"/>
          </w:tcPr>
          <w:p w14:paraId="699ECA03" w14:textId="22640C61" w:rsidR="00704D7B" w:rsidRPr="00CF38B1" w:rsidRDefault="00704D7B" w:rsidP="009A7889">
            <w:pPr>
              <w:spacing w:before="40" w:after="40" w:line="240" w:lineRule="auto"/>
              <w:ind w:left="57"/>
              <w:rPr>
                <w:rFonts w:ascii="Poppins" w:eastAsia="Times New Roman" w:hAnsi="Poppins" w:cs="Poppins"/>
                <w:sz w:val="18"/>
                <w:szCs w:val="18"/>
                <w:lang w:eastAsia="en-GB"/>
              </w:rPr>
            </w:pPr>
            <w:r>
              <w:rPr>
                <w:rFonts w:ascii="Poppins" w:eastAsia="Times New Roman" w:hAnsi="Poppins" w:cs="Poppins"/>
                <w:sz w:val="18"/>
                <w:szCs w:val="18"/>
                <w:lang w:eastAsia="en-GB"/>
              </w:rPr>
              <w:t>Upper respiratory tract infection</w:t>
            </w:r>
          </w:p>
        </w:tc>
      </w:tr>
    </w:tbl>
    <w:p w14:paraId="5AFF6592" w14:textId="777CDE39" w:rsidR="004C4993" w:rsidRDefault="004C4993" w:rsidP="004111A4">
      <w:pPr>
        <w:spacing w:after="120" w:line="240" w:lineRule="auto"/>
        <w:rPr>
          <w:rFonts w:ascii="Poppins" w:eastAsia="Times New Roman" w:hAnsi="Poppins" w:cs="Poppins"/>
          <w:sz w:val="21"/>
          <w:szCs w:val="21"/>
          <w:lang w:eastAsia="en-GB"/>
        </w:rPr>
      </w:pPr>
    </w:p>
    <w:p w14:paraId="750C682B" w14:textId="77777777" w:rsidR="00CF38B1" w:rsidRDefault="00CF38B1" w:rsidP="004111A4">
      <w:pPr>
        <w:spacing w:after="120" w:line="240" w:lineRule="auto"/>
        <w:rPr>
          <w:rFonts w:ascii="Poppins" w:eastAsia="Times New Roman" w:hAnsi="Poppins" w:cs="Poppins"/>
          <w:sz w:val="21"/>
          <w:szCs w:val="21"/>
          <w:lang w:eastAsia="en-GB"/>
        </w:rPr>
      </w:pPr>
    </w:p>
    <w:p w14:paraId="670F3ECC" w14:textId="50B0B0B5" w:rsidR="00C41DEF" w:rsidRPr="00E42614" w:rsidRDefault="00531388" w:rsidP="00974651">
      <w:pPr>
        <w:pStyle w:val="Heading1"/>
        <w:spacing w:before="120" w:after="120"/>
        <w:rPr>
          <w:lang w:eastAsia="en-GB"/>
        </w:rPr>
      </w:pPr>
      <w:bookmarkStart w:id="5" w:name="_Toc237332031"/>
      <w:r w:rsidRPr="00E42614">
        <w:rPr>
          <w:lang w:eastAsia="en-GB"/>
        </w:rPr>
        <w:t>Roles and r</w:t>
      </w:r>
      <w:r w:rsidR="00C41DEF" w:rsidRPr="00E42614">
        <w:rPr>
          <w:lang w:eastAsia="en-GB"/>
        </w:rPr>
        <w:t>esponsibilities</w:t>
      </w:r>
      <w:bookmarkEnd w:id="5"/>
    </w:p>
    <w:p w14:paraId="71B7ED40" w14:textId="346FA6D6" w:rsidR="00531388" w:rsidRPr="00E42614" w:rsidRDefault="00531388"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w:t>
      </w:r>
      <w:r w:rsidR="00487F85" w:rsidRPr="00E42614">
        <w:rPr>
          <w:rFonts w:ascii="Poppins" w:eastAsia="Times New Roman" w:hAnsi="Poppins" w:cs="Poppins"/>
          <w:bCs/>
          <w:i/>
          <w:iCs/>
          <w:color w:val="808080" w:themeColor="background1" w:themeShade="80"/>
          <w:sz w:val="20"/>
          <w:szCs w:val="20"/>
        </w:rPr>
        <w:t>A</w:t>
      </w:r>
      <w:r w:rsidRPr="00E42614">
        <w:rPr>
          <w:rFonts w:ascii="Poppins" w:eastAsia="Times New Roman" w:hAnsi="Poppins" w:cs="Poppins"/>
          <w:bCs/>
          <w:i/>
          <w:iCs/>
          <w:color w:val="808080" w:themeColor="background1" w:themeShade="80"/>
          <w:sz w:val="20"/>
          <w:szCs w:val="20"/>
        </w:rPr>
        <w:t xml:space="preserve">mend to local staff/roles and responsibilities </w:t>
      </w:r>
      <w:r w:rsidR="005907F7" w:rsidRPr="00E42614">
        <w:rPr>
          <w:rFonts w:ascii="Poppins" w:eastAsia="Times New Roman" w:hAnsi="Poppins" w:cs="Poppins"/>
          <w:bCs/>
          <w:i/>
          <w:iCs/>
          <w:color w:val="808080" w:themeColor="background1" w:themeShade="80"/>
          <w:sz w:val="20"/>
          <w:szCs w:val="20"/>
        </w:rPr>
        <w:t>as</w:t>
      </w:r>
      <w:r w:rsidRPr="00E42614">
        <w:rPr>
          <w:rFonts w:ascii="Poppins" w:eastAsia="Times New Roman" w:hAnsi="Poppins" w:cs="Poppins"/>
          <w:bCs/>
          <w:i/>
          <w:iCs/>
          <w:color w:val="808080" w:themeColor="background1" w:themeShade="80"/>
          <w:sz w:val="20"/>
          <w:szCs w:val="20"/>
        </w:rPr>
        <w:t xml:space="preserve"> needed&gt;</w:t>
      </w:r>
    </w:p>
    <w:p w14:paraId="4EE8FC4A" w14:textId="7938B95A" w:rsidR="00C41DEF" w:rsidRPr="00E42614" w:rsidRDefault="00C41DEF"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Consultant Diabetologist</w:t>
      </w:r>
      <w:r w:rsidR="00B377BD">
        <w:rPr>
          <w:rFonts w:ascii="Poppins" w:eastAsia="Times New Roman" w:hAnsi="Poppins" w:cs="Poppins"/>
          <w:b/>
          <w:bCs/>
          <w:lang w:eastAsia="en-GB"/>
        </w:rPr>
        <w:t xml:space="preserve"> </w:t>
      </w:r>
      <w:r w:rsidRPr="00E42614">
        <w:rPr>
          <w:rFonts w:ascii="Poppins" w:eastAsia="Times New Roman" w:hAnsi="Poppins" w:cs="Poppins"/>
          <w:b/>
          <w:bCs/>
          <w:lang w:eastAsia="en-GB"/>
        </w:rPr>
        <w:t>/</w:t>
      </w:r>
      <w:r w:rsidR="00B377BD">
        <w:rPr>
          <w:rFonts w:ascii="Poppins" w:eastAsia="Times New Roman" w:hAnsi="Poppins" w:cs="Poppins"/>
          <w:b/>
          <w:bCs/>
          <w:lang w:eastAsia="en-GB"/>
        </w:rPr>
        <w:t xml:space="preserve"> </w:t>
      </w:r>
      <w:r w:rsidRPr="00E42614">
        <w:rPr>
          <w:rFonts w:ascii="Poppins" w:eastAsia="Times New Roman" w:hAnsi="Poppins" w:cs="Poppins"/>
          <w:b/>
          <w:bCs/>
          <w:lang w:eastAsia="en-GB"/>
        </w:rPr>
        <w:t>Endocrinologist</w:t>
      </w:r>
      <w:r w:rsidR="00B377BD">
        <w:rPr>
          <w:rFonts w:ascii="Poppins" w:eastAsia="Times New Roman" w:hAnsi="Poppins" w:cs="Poppins"/>
          <w:b/>
          <w:bCs/>
          <w:lang w:eastAsia="en-GB"/>
        </w:rPr>
        <w:t xml:space="preserve"> </w:t>
      </w:r>
      <w:r w:rsidR="003D5376" w:rsidRPr="00E42614">
        <w:rPr>
          <w:rFonts w:ascii="Poppins" w:eastAsia="Times New Roman" w:hAnsi="Poppins" w:cs="Poppins"/>
          <w:b/>
          <w:bCs/>
          <w:lang w:eastAsia="en-GB"/>
        </w:rPr>
        <w:t>/</w:t>
      </w:r>
      <w:r w:rsidR="00B377BD">
        <w:rPr>
          <w:rFonts w:ascii="Poppins" w:eastAsia="Times New Roman" w:hAnsi="Poppins" w:cs="Poppins"/>
          <w:b/>
          <w:bCs/>
          <w:lang w:eastAsia="en-GB"/>
        </w:rPr>
        <w:t xml:space="preserve"> </w:t>
      </w:r>
      <w:r w:rsidR="003D5376" w:rsidRPr="00E42614">
        <w:rPr>
          <w:rFonts w:ascii="Poppins" w:eastAsia="Times New Roman" w:hAnsi="Poppins" w:cs="Poppins"/>
          <w:b/>
          <w:bCs/>
          <w:lang w:eastAsia="en-GB"/>
        </w:rPr>
        <w:t>Paediatrician</w:t>
      </w:r>
    </w:p>
    <w:p w14:paraId="68467C91" w14:textId="62EF6516" w:rsidR="0097516D" w:rsidRPr="00E42614" w:rsidRDefault="00C41DEF" w:rsidP="00974651">
      <w:pPr>
        <w:pStyle w:val="Heading1"/>
        <w:spacing w:before="120" w:after="120"/>
        <w:rPr>
          <w:rFonts w:eastAsia="Times New Roman" w:cs="Poppins"/>
          <w:b w:val="0"/>
          <w:bCs w:val="0"/>
          <w:color w:val="auto"/>
          <w:sz w:val="21"/>
          <w:szCs w:val="21"/>
          <w:lang w:eastAsia="en-GB"/>
        </w:rPr>
      </w:pPr>
      <w:r w:rsidRPr="00E42614">
        <w:rPr>
          <w:rFonts w:eastAsia="Times New Roman" w:cs="Poppins"/>
          <w:b w:val="0"/>
          <w:bCs w:val="0"/>
          <w:color w:val="auto"/>
          <w:sz w:val="21"/>
          <w:szCs w:val="21"/>
          <w:lang w:eastAsia="en-GB"/>
        </w:rPr>
        <w:t>Responsible for:</w:t>
      </w:r>
      <w:r w:rsidR="0097516D" w:rsidRPr="00E42614">
        <w:rPr>
          <w:rFonts w:eastAsia="Times New Roman" w:cs="Poppins"/>
          <w:b w:val="0"/>
          <w:bCs w:val="0"/>
          <w:color w:val="auto"/>
          <w:sz w:val="21"/>
          <w:szCs w:val="21"/>
          <w:lang w:eastAsia="en-GB"/>
        </w:rPr>
        <w:t xml:space="preserve"> </w:t>
      </w:r>
    </w:p>
    <w:p w14:paraId="7A9D0093" w14:textId="77777777" w:rsidR="00C41DEF" w:rsidRPr="00E42614"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Confirming diagnosis</w:t>
      </w:r>
    </w:p>
    <w:p w14:paraId="742C0953" w14:textId="77777777" w:rsidR="00C41DEF"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Determining eligibility</w:t>
      </w:r>
    </w:p>
    <w:p w14:paraId="456FDA19" w14:textId="5534336E" w:rsidR="00B377BD" w:rsidRPr="00E42614" w:rsidRDefault="00B377BD" w:rsidP="00D87B2C">
      <w:pPr>
        <w:numPr>
          <w:ilvl w:val="0"/>
          <w:numId w:val="9"/>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Consent discussions</w:t>
      </w:r>
    </w:p>
    <w:p w14:paraId="586EB428" w14:textId="71168611" w:rsidR="00C41DEF"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Prescribing </w:t>
      </w:r>
      <w:r w:rsidR="00981F8A" w:rsidRPr="00E42614">
        <w:rPr>
          <w:rFonts w:ascii="Poppins" w:eastAsia="Times New Roman" w:hAnsi="Poppins" w:cs="Poppins"/>
          <w:sz w:val="21"/>
          <w:szCs w:val="21"/>
          <w:lang w:eastAsia="en-GB"/>
        </w:rPr>
        <w:t>t</w:t>
      </w:r>
      <w:r w:rsidRPr="00E42614">
        <w:rPr>
          <w:rFonts w:ascii="Poppins" w:eastAsia="Times New Roman" w:hAnsi="Poppins" w:cs="Poppins"/>
          <w:sz w:val="21"/>
          <w:szCs w:val="21"/>
          <w:lang w:eastAsia="en-GB"/>
        </w:rPr>
        <w:t>eplizumab</w:t>
      </w:r>
    </w:p>
    <w:p w14:paraId="75914AAD" w14:textId="4565B970" w:rsidR="00B377BD" w:rsidRPr="00E42614" w:rsidRDefault="00B377BD" w:rsidP="00D87B2C">
      <w:pPr>
        <w:numPr>
          <w:ilvl w:val="0"/>
          <w:numId w:val="9"/>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Reviews abnormal results and makes pause / stop decisions</w:t>
      </w:r>
    </w:p>
    <w:p w14:paraId="2A0237E0" w14:textId="77777777" w:rsidR="00C41DEF"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Managing adverse events</w:t>
      </w:r>
    </w:p>
    <w:p w14:paraId="76D7798F" w14:textId="03BA5F09" w:rsidR="00B377BD" w:rsidRPr="00E42614" w:rsidRDefault="00B377BD" w:rsidP="00D87B2C">
      <w:pPr>
        <w:numPr>
          <w:ilvl w:val="0"/>
          <w:numId w:val="9"/>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Provides out of hours advice / support during infusion period</w:t>
      </w:r>
    </w:p>
    <w:p w14:paraId="322661F2" w14:textId="7C27D6A0" w:rsidR="00C41DEF" w:rsidRPr="00E42614" w:rsidRDefault="001301EB"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Planning </w:t>
      </w:r>
      <w:r w:rsidR="00C41DEF" w:rsidRPr="00E42614">
        <w:rPr>
          <w:rFonts w:ascii="Poppins" w:eastAsia="Times New Roman" w:hAnsi="Poppins" w:cs="Poppins"/>
          <w:sz w:val="21"/>
          <w:szCs w:val="21"/>
          <w:lang w:eastAsia="en-GB"/>
        </w:rPr>
        <w:t>follow-up</w:t>
      </w:r>
    </w:p>
    <w:p w14:paraId="5FA2B2F8" w14:textId="6F89233B" w:rsidR="005907F7" w:rsidRDefault="006965F7"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Safety surveillance</w:t>
      </w:r>
    </w:p>
    <w:p w14:paraId="216D7D3C" w14:textId="038D610C" w:rsidR="001B1738" w:rsidRPr="00E42614" w:rsidRDefault="001B1738" w:rsidP="00974651">
      <w:pPr>
        <w:spacing w:before="120" w:after="120" w:line="240" w:lineRule="auto"/>
        <w:rPr>
          <w:rFonts w:ascii="Poppins" w:eastAsia="Times New Roman" w:hAnsi="Poppins" w:cs="Poppins"/>
          <w:sz w:val="21"/>
          <w:szCs w:val="21"/>
          <w:lang w:eastAsia="en-GB"/>
        </w:rPr>
      </w:pPr>
      <w:r w:rsidRPr="001B1738">
        <w:rPr>
          <w:rFonts w:ascii="Poppins" w:eastAsia="Times New Roman" w:hAnsi="Poppins" w:cs="Poppins"/>
          <w:sz w:val="21"/>
          <w:szCs w:val="21"/>
          <w:lang w:eastAsia="en-GB"/>
        </w:rPr>
        <w:t>(</w:t>
      </w:r>
      <w:hyperlink w:anchor="_Appendix_1._Checklist" w:history="1">
        <w:r w:rsidRPr="001B1738">
          <w:rPr>
            <w:rStyle w:val="Hyperlink"/>
            <w:rFonts w:ascii="Poppins" w:eastAsia="Times New Roman" w:hAnsi="Poppins" w:cs="Poppins"/>
            <w:sz w:val="21"/>
            <w:szCs w:val="21"/>
            <w:lang w:eastAsia="en-GB"/>
          </w:rPr>
          <w:t>see Appendix 1. Checklist for responsible clinician</w:t>
        </w:r>
      </w:hyperlink>
      <w:r w:rsidRPr="001B1738">
        <w:rPr>
          <w:rFonts w:ascii="Poppins" w:eastAsia="Times New Roman" w:hAnsi="Poppins" w:cs="Poppins"/>
          <w:sz w:val="21"/>
          <w:szCs w:val="21"/>
          <w:lang w:eastAsia="en-GB"/>
        </w:rPr>
        <w:t>)</w:t>
      </w:r>
    </w:p>
    <w:p w14:paraId="05884507" w14:textId="7B36FF72" w:rsidR="00C41DEF" w:rsidRPr="00E42614" w:rsidRDefault="00C41DE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Diabetes Specialist Nurse</w:t>
      </w:r>
      <w:r w:rsidR="002B3953">
        <w:rPr>
          <w:rFonts w:ascii="Poppins" w:eastAsia="Times New Roman" w:hAnsi="Poppins" w:cs="Poppins"/>
          <w:b/>
          <w:bCs/>
          <w:lang w:eastAsia="en-GB"/>
        </w:rPr>
        <w:t xml:space="preserve"> / Dietitian / Diabetes Educator</w:t>
      </w:r>
    </w:p>
    <w:p w14:paraId="57CCD54A" w14:textId="77777777" w:rsidR="00C41DEF" w:rsidRPr="00E42614" w:rsidRDefault="00C41DE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Responsible for:</w:t>
      </w:r>
    </w:p>
    <w:p w14:paraId="6C45CC5D" w14:textId="4C6E8DE3" w:rsidR="005907F7" w:rsidRPr="00E42614" w:rsidRDefault="00531388" w:rsidP="00D87B2C">
      <w:pPr>
        <w:numPr>
          <w:ilvl w:val="0"/>
          <w:numId w:val="10"/>
        </w:numPr>
        <w:spacing w:before="120" w:after="12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Patient</w:t>
      </w:r>
      <w:r w:rsidR="002E3ACC" w:rsidRPr="00E42614">
        <w:rPr>
          <w:rFonts w:ascii="Poppins" w:eastAsia="Times New Roman" w:hAnsi="Poppins" w:cs="Poppins"/>
          <w:sz w:val="21"/>
          <w:szCs w:val="21"/>
          <w:lang w:eastAsia="en-GB"/>
        </w:rPr>
        <w:t xml:space="preserve"> / family education</w:t>
      </w:r>
    </w:p>
    <w:p w14:paraId="04A4084E" w14:textId="77777777" w:rsidR="00C41DEF" w:rsidRPr="00E42614" w:rsidRDefault="00C41DE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Pharmacy</w:t>
      </w:r>
    </w:p>
    <w:p w14:paraId="23DF4A8A" w14:textId="77777777" w:rsidR="00C41DEF" w:rsidRPr="00E42614" w:rsidRDefault="00C41DE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Responsible for:</w:t>
      </w:r>
    </w:p>
    <w:p w14:paraId="483B5E6F" w14:textId="77777777" w:rsidR="00C41DEF" w:rsidRPr="00E42614" w:rsidRDefault="00C41DEF"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Procurement</w:t>
      </w:r>
    </w:p>
    <w:p w14:paraId="28A29B0C" w14:textId="00BC7860" w:rsidR="00C41DEF" w:rsidRPr="00E42614" w:rsidRDefault="00C41DEF"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Storage</w:t>
      </w:r>
      <w:r w:rsidR="00B377BD">
        <w:rPr>
          <w:rFonts w:ascii="Poppins" w:eastAsia="Times New Roman" w:hAnsi="Poppins" w:cs="Poppins"/>
          <w:sz w:val="21"/>
          <w:szCs w:val="21"/>
          <w:lang w:eastAsia="en-GB"/>
        </w:rPr>
        <w:t xml:space="preserve"> and product handling requirements</w:t>
      </w:r>
    </w:p>
    <w:p w14:paraId="0122E338" w14:textId="5372B9AC" w:rsidR="00C41DEF" w:rsidRDefault="005907F7"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Dispensing</w:t>
      </w:r>
    </w:p>
    <w:p w14:paraId="3AB619A3" w14:textId="008C8B45" w:rsidR="00B377BD" w:rsidRPr="00E42614" w:rsidRDefault="00B377BD" w:rsidP="00D87B2C">
      <w:pPr>
        <w:numPr>
          <w:ilvl w:val="0"/>
          <w:numId w:val="11"/>
        </w:numPr>
        <w:spacing w:before="60" w:after="60" w:line="240" w:lineRule="auto"/>
        <w:ind w:left="360"/>
        <w:rPr>
          <w:rFonts w:ascii="Poppins" w:eastAsia="Times New Roman" w:hAnsi="Poppins" w:cs="Poppins"/>
          <w:sz w:val="21"/>
          <w:szCs w:val="21"/>
          <w:lang w:eastAsia="en-GB"/>
        </w:rPr>
      </w:pPr>
      <w:r>
        <w:rPr>
          <w:rFonts w:ascii="Poppins" w:eastAsia="Times New Roman" w:hAnsi="Poppins" w:cs="Poppins"/>
          <w:sz w:val="21"/>
          <w:szCs w:val="21"/>
          <w:lang w:eastAsia="en-GB"/>
        </w:rPr>
        <w:t>Ensuring product preparation follows local approved procedures</w:t>
      </w:r>
    </w:p>
    <w:p w14:paraId="3273963D" w14:textId="77777777" w:rsidR="00C41DEF" w:rsidRPr="00E42614" w:rsidRDefault="00C41DEF"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Verification of dosing</w:t>
      </w:r>
    </w:p>
    <w:p w14:paraId="7C74D00D" w14:textId="61141397" w:rsidR="0087339F" w:rsidRPr="00614D9A" w:rsidRDefault="00D92D21" w:rsidP="00D87B2C">
      <w:pPr>
        <w:numPr>
          <w:ilvl w:val="0"/>
          <w:numId w:val="1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Safety surveillance</w:t>
      </w:r>
    </w:p>
    <w:p w14:paraId="17577329" w14:textId="54BEF9B6" w:rsidR="00C41DEF" w:rsidRPr="00E42614" w:rsidRDefault="00C41DE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Infusion </w:t>
      </w:r>
      <w:r w:rsidR="003D52B0" w:rsidRPr="00E42614">
        <w:rPr>
          <w:rFonts w:ascii="Poppins" w:eastAsia="Times New Roman" w:hAnsi="Poppins" w:cs="Poppins"/>
          <w:b/>
          <w:bCs/>
          <w:lang w:eastAsia="en-GB"/>
        </w:rPr>
        <w:t>delivery area</w:t>
      </w:r>
      <w:r w:rsidR="005907F7" w:rsidRPr="00E42614">
        <w:rPr>
          <w:rFonts w:ascii="Poppins" w:eastAsia="Times New Roman" w:hAnsi="Poppins" w:cs="Poppins"/>
          <w:b/>
          <w:bCs/>
          <w:lang w:eastAsia="en-GB"/>
        </w:rPr>
        <w:t xml:space="preserve"> staff</w:t>
      </w:r>
      <w:r w:rsidR="00654A91" w:rsidRPr="00E42614">
        <w:rPr>
          <w:rFonts w:ascii="Poppins" w:eastAsia="Times New Roman" w:hAnsi="Poppins" w:cs="Poppins"/>
          <w:b/>
          <w:bCs/>
          <w:lang w:eastAsia="en-GB"/>
        </w:rPr>
        <w:t xml:space="preserve"> </w:t>
      </w:r>
    </w:p>
    <w:p w14:paraId="3C984781" w14:textId="038A8A3B" w:rsidR="002A311F" w:rsidRPr="00E42614" w:rsidRDefault="00C41DEF"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sz w:val="21"/>
          <w:szCs w:val="21"/>
          <w:lang w:eastAsia="en-GB"/>
        </w:rPr>
        <w:t>Responsible for:</w:t>
      </w:r>
      <w:r w:rsidR="001B1738" w:rsidRPr="00E42614">
        <w:rPr>
          <w:rFonts w:ascii="Poppins" w:eastAsia="Times New Roman" w:hAnsi="Poppins" w:cs="Poppins"/>
          <w:b/>
          <w:bCs/>
          <w:lang w:eastAsia="en-GB"/>
        </w:rPr>
        <w:t xml:space="preserve"> </w:t>
      </w:r>
    </w:p>
    <w:p w14:paraId="584FB7CB" w14:textId="1D1ECC86" w:rsidR="005907F7" w:rsidRPr="00E42614" w:rsidRDefault="00B377BD" w:rsidP="00D87B2C">
      <w:pPr>
        <w:numPr>
          <w:ilvl w:val="0"/>
          <w:numId w:val="12"/>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Product </w:t>
      </w:r>
      <w:r w:rsidR="005907F7" w:rsidRPr="00E42614">
        <w:rPr>
          <w:rFonts w:ascii="Poppins" w:eastAsia="Times New Roman" w:hAnsi="Poppins" w:cs="Poppins"/>
          <w:sz w:val="21"/>
          <w:szCs w:val="21"/>
          <w:lang w:eastAsia="en-GB"/>
        </w:rPr>
        <w:t>preparation</w:t>
      </w:r>
      <w:r>
        <w:rPr>
          <w:rFonts w:ascii="Poppins" w:eastAsia="Times New Roman" w:hAnsi="Poppins" w:cs="Poppins"/>
          <w:sz w:val="21"/>
          <w:szCs w:val="21"/>
          <w:lang w:eastAsia="en-GB"/>
        </w:rPr>
        <w:t xml:space="preserve"> according to SmPC and approved pharmacy requirements</w:t>
      </w:r>
    </w:p>
    <w:p w14:paraId="715555EC" w14:textId="042D48D5" w:rsidR="00C41DEF" w:rsidRPr="00E42614" w:rsidRDefault="00C41DEF"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Administration</w:t>
      </w:r>
    </w:p>
    <w:p w14:paraId="71CE2DE3" w14:textId="6EA720F9" w:rsidR="00C41DEF" w:rsidRPr="00E42614" w:rsidRDefault="00C41DEF"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Observation</w:t>
      </w:r>
      <w:r w:rsidR="00B377BD">
        <w:rPr>
          <w:rFonts w:ascii="Poppins" w:eastAsia="Times New Roman" w:hAnsi="Poppins" w:cs="Poppins"/>
          <w:sz w:val="21"/>
          <w:szCs w:val="21"/>
          <w:lang w:eastAsia="en-GB"/>
        </w:rPr>
        <w:t xml:space="preserve"> and completing daily checklists</w:t>
      </w:r>
    </w:p>
    <w:p w14:paraId="0DC35C52" w14:textId="1983E30E" w:rsidR="00C41DEF" w:rsidRPr="00E42614" w:rsidRDefault="006348B6"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lastRenderedPageBreak/>
        <w:t>Escalation to responsible clinician during infusion period</w:t>
      </w:r>
    </w:p>
    <w:p w14:paraId="313BF14B" w14:textId="4DC53EFC" w:rsidR="00C97A4F" w:rsidRPr="00E42614" w:rsidRDefault="001E501A"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Follow local processes for emergency management of unwell patients</w:t>
      </w:r>
    </w:p>
    <w:p w14:paraId="63F12015" w14:textId="502B4260" w:rsidR="005907F7" w:rsidRDefault="005907F7"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Ensuring access to HDU/ICU in cases of adverse events including Cytokine</w:t>
      </w:r>
      <w:r w:rsidR="009614BB">
        <w:rPr>
          <w:rFonts w:ascii="Poppins" w:eastAsia="Times New Roman" w:hAnsi="Poppins" w:cs="Poppins"/>
          <w:sz w:val="21"/>
          <w:szCs w:val="21"/>
          <w:lang w:eastAsia="en-GB"/>
        </w:rPr>
        <w:t xml:space="preserve"> </w:t>
      </w:r>
      <w:r w:rsidRPr="00E42614">
        <w:rPr>
          <w:rFonts w:ascii="Poppins" w:eastAsia="Times New Roman" w:hAnsi="Poppins" w:cs="Poppins"/>
          <w:sz w:val="21"/>
          <w:szCs w:val="21"/>
          <w:lang w:eastAsia="en-GB"/>
        </w:rPr>
        <w:t xml:space="preserve">Release Syndrome </w:t>
      </w:r>
      <w:r w:rsidR="001B1738">
        <w:rPr>
          <w:rFonts w:ascii="Poppins" w:eastAsia="Times New Roman" w:hAnsi="Poppins" w:cs="Poppins"/>
          <w:sz w:val="21"/>
          <w:szCs w:val="21"/>
          <w:lang w:eastAsia="en-GB"/>
        </w:rPr>
        <w:t>(CRS)</w:t>
      </w:r>
      <w:r w:rsidR="00B377BD">
        <w:rPr>
          <w:rFonts w:ascii="Poppins" w:eastAsia="Times New Roman" w:hAnsi="Poppins" w:cs="Poppins"/>
          <w:sz w:val="21"/>
          <w:szCs w:val="21"/>
          <w:lang w:eastAsia="en-GB"/>
        </w:rPr>
        <w:t xml:space="preserve"> </w:t>
      </w:r>
    </w:p>
    <w:p w14:paraId="123760AF" w14:textId="6766D052" w:rsidR="001B1738" w:rsidRPr="001B1738" w:rsidRDefault="001B1738" w:rsidP="00974651">
      <w:pPr>
        <w:spacing w:before="120" w:after="120" w:line="240" w:lineRule="auto"/>
        <w:ind w:left="360"/>
        <w:rPr>
          <w:rFonts w:ascii="Poppins" w:eastAsia="Times New Roman" w:hAnsi="Poppins" w:cs="Poppins"/>
          <w:b/>
          <w:bCs/>
          <w:lang w:eastAsia="en-GB"/>
        </w:rPr>
      </w:pPr>
      <w:hyperlink w:anchor="_Appendix_2._Infusion" w:history="1">
        <w:r w:rsidRPr="001B1738">
          <w:rPr>
            <w:rStyle w:val="Hyperlink"/>
            <w:rFonts w:ascii="Poppins" w:eastAsia="Times New Roman" w:hAnsi="Poppins" w:cs="Poppins"/>
            <w:lang w:eastAsia="en-GB"/>
          </w:rPr>
          <w:t>(see Appendix 2. Infusion day checklist for person administering infusion)</w:t>
        </w:r>
      </w:hyperlink>
    </w:p>
    <w:p w14:paraId="0EC40D1A" w14:textId="7EEA0057" w:rsidR="001B1738" w:rsidRPr="00974651" w:rsidRDefault="00B377BD" w:rsidP="00974651">
      <w:pPr>
        <w:spacing w:before="240" w:after="120" w:line="240" w:lineRule="auto"/>
        <w:rPr>
          <w:rFonts w:ascii="Poppins" w:eastAsia="Times New Roman" w:hAnsi="Poppins" w:cs="Poppins"/>
          <w:b/>
          <w:bCs/>
          <w:lang w:eastAsia="en-GB"/>
        </w:rPr>
      </w:pPr>
      <w:r>
        <w:rPr>
          <w:rFonts w:ascii="Poppins" w:eastAsia="Times New Roman" w:hAnsi="Poppins" w:cs="Poppins"/>
          <w:b/>
          <w:bCs/>
          <w:lang w:eastAsia="en-GB"/>
        </w:rPr>
        <w:t xml:space="preserve">On-call </w:t>
      </w:r>
      <w:r w:rsidRPr="00974651">
        <w:rPr>
          <w:rFonts w:ascii="Poppins" w:eastAsia="Times New Roman" w:hAnsi="Poppins" w:cs="Poppins"/>
          <w:b/>
          <w:bCs/>
          <w:lang w:eastAsia="en-GB"/>
        </w:rPr>
        <w:t>medical team</w:t>
      </w:r>
    </w:p>
    <w:p w14:paraId="4E300A65" w14:textId="77777777" w:rsidR="00B377BD" w:rsidRPr="00974651" w:rsidRDefault="00B377BD" w:rsidP="00D87B2C">
      <w:pPr>
        <w:pStyle w:val="ListParagraph"/>
        <w:numPr>
          <w:ilvl w:val="0"/>
          <w:numId w:val="31"/>
        </w:numPr>
        <w:spacing w:before="60" w:after="60" w:line="240" w:lineRule="auto"/>
        <w:ind w:left="357" w:hanging="357"/>
        <w:contextualSpacing w:val="0"/>
        <w:rPr>
          <w:rFonts w:ascii="Poppins" w:eastAsia="Times New Roman" w:hAnsi="Poppins" w:cs="Poppins"/>
          <w:sz w:val="21"/>
          <w:szCs w:val="21"/>
          <w:lang w:eastAsia="en-GB"/>
        </w:rPr>
      </w:pPr>
      <w:r w:rsidRPr="00974651">
        <w:rPr>
          <w:rFonts w:ascii="Poppins" w:eastAsia="Times New Roman" w:hAnsi="Poppins" w:cs="Poppins"/>
          <w:sz w:val="21"/>
          <w:szCs w:val="21"/>
          <w:lang w:eastAsia="en-GB"/>
        </w:rPr>
        <w:t>Provides urgent review out of hours for CRS, hypersensitivity, infection, hyperglycaemia, or clinical deterioration</w:t>
      </w:r>
    </w:p>
    <w:p w14:paraId="71769E7A" w14:textId="19AEF93D" w:rsidR="00B377BD" w:rsidRPr="00974651" w:rsidRDefault="00B377BD" w:rsidP="00D87B2C">
      <w:pPr>
        <w:pStyle w:val="ListParagraph"/>
        <w:numPr>
          <w:ilvl w:val="0"/>
          <w:numId w:val="31"/>
        </w:numPr>
        <w:spacing w:before="60" w:after="60" w:line="240" w:lineRule="auto"/>
        <w:ind w:left="357" w:hanging="357"/>
        <w:contextualSpacing w:val="0"/>
        <w:rPr>
          <w:rFonts w:ascii="Poppins" w:eastAsia="Times New Roman" w:hAnsi="Poppins" w:cs="Poppins"/>
          <w:sz w:val="21"/>
          <w:szCs w:val="21"/>
          <w:lang w:eastAsia="en-GB"/>
        </w:rPr>
      </w:pPr>
      <w:r w:rsidRPr="00974651">
        <w:rPr>
          <w:rFonts w:ascii="Poppins" w:eastAsia="Times New Roman" w:hAnsi="Poppins" w:cs="Poppins"/>
          <w:sz w:val="21"/>
          <w:szCs w:val="21"/>
          <w:lang w:eastAsia="en-GB"/>
        </w:rPr>
        <w:t>Liaises with on-call Consultant Diabetologist / Endocrinologist / Paediatrician as required</w:t>
      </w:r>
    </w:p>
    <w:p w14:paraId="2BC104FD" w14:textId="5F3AC264" w:rsidR="00B377BD" w:rsidRPr="00974651" w:rsidRDefault="004974B8" w:rsidP="00974651">
      <w:pPr>
        <w:spacing w:before="240" w:after="120" w:line="240" w:lineRule="auto"/>
        <w:rPr>
          <w:rFonts w:ascii="Poppins" w:eastAsia="Times New Roman" w:hAnsi="Poppins" w:cs="Poppins"/>
          <w:b/>
          <w:bCs/>
          <w:lang w:eastAsia="en-GB"/>
        </w:rPr>
      </w:pPr>
      <w:r w:rsidRPr="00974651">
        <w:rPr>
          <w:rFonts w:ascii="Poppins" w:eastAsia="Times New Roman" w:hAnsi="Poppins" w:cs="Poppins"/>
          <w:b/>
          <w:bCs/>
          <w:lang w:eastAsia="en-GB"/>
        </w:rPr>
        <w:t>Haematology / immunology / PICU teams</w:t>
      </w:r>
    </w:p>
    <w:p w14:paraId="7F2DDED9" w14:textId="48231EEF" w:rsidR="001B1738" w:rsidRPr="00974651" w:rsidRDefault="004974B8" w:rsidP="00D87B2C">
      <w:pPr>
        <w:pStyle w:val="ListParagraph"/>
        <w:numPr>
          <w:ilvl w:val="0"/>
          <w:numId w:val="32"/>
        </w:numPr>
        <w:spacing w:before="120" w:after="120" w:line="240" w:lineRule="auto"/>
        <w:contextualSpacing w:val="0"/>
        <w:rPr>
          <w:rFonts w:ascii="Poppins" w:eastAsia="Times New Roman" w:hAnsi="Poppins" w:cs="Poppins"/>
          <w:sz w:val="21"/>
          <w:szCs w:val="21"/>
          <w:lang w:eastAsia="en-GB"/>
        </w:rPr>
      </w:pPr>
      <w:r w:rsidRPr="004974B8">
        <w:rPr>
          <w:rFonts w:ascii="Poppins" w:eastAsia="Times New Roman" w:hAnsi="Poppins" w:cs="Poppins"/>
          <w:sz w:val="21"/>
          <w:szCs w:val="21"/>
          <w:lang w:eastAsia="en-GB"/>
        </w:rPr>
        <w:t>Provide specialist support for severe CRS, significant cytopenias, severe infection, or complex immune-mediated reactions</w:t>
      </w:r>
    </w:p>
    <w:p w14:paraId="4F77391C" w14:textId="2D72C26C" w:rsidR="00F73457" w:rsidRPr="00E42614" w:rsidRDefault="00F73457" w:rsidP="00974651">
      <w:pPr>
        <w:pStyle w:val="Heading1"/>
        <w:spacing w:before="360" w:after="120"/>
        <w:rPr>
          <w:lang w:eastAsia="en-GB"/>
        </w:rPr>
      </w:pPr>
      <w:bookmarkStart w:id="6" w:name="_Toc237332032"/>
      <w:r w:rsidRPr="00E42614">
        <w:rPr>
          <w:lang w:eastAsia="en-GB"/>
        </w:rPr>
        <w:t xml:space="preserve">Patient </w:t>
      </w:r>
      <w:r w:rsidR="005907F7" w:rsidRPr="00E42614">
        <w:rPr>
          <w:lang w:eastAsia="en-GB"/>
        </w:rPr>
        <w:t>cohorts</w:t>
      </w:r>
      <w:bookmarkEnd w:id="6"/>
    </w:p>
    <w:p w14:paraId="6422676F" w14:textId="6D68A2E4" w:rsidR="00656262" w:rsidRPr="00E42614" w:rsidRDefault="005907F7"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NICE</w:t>
      </w:r>
      <w:r w:rsidR="00656262" w:rsidRPr="00E42614">
        <w:rPr>
          <w:rFonts w:ascii="Poppins" w:eastAsia="Times New Roman" w:hAnsi="Poppins" w:cs="Poppins"/>
          <w:sz w:val="21"/>
          <w:szCs w:val="21"/>
          <w:lang w:eastAsia="en-GB"/>
        </w:rPr>
        <w:t xml:space="preserve"> guidance for teplizumab suggests</w:t>
      </w:r>
      <w:r w:rsidRPr="00E42614">
        <w:rPr>
          <w:rFonts w:ascii="Poppins" w:eastAsia="Times New Roman" w:hAnsi="Poppins" w:cs="Poppins"/>
          <w:sz w:val="21"/>
          <w:szCs w:val="21"/>
          <w:lang w:eastAsia="en-GB"/>
        </w:rPr>
        <w:t xml:space="preserve"> the following cohorts of p</w:t>
      </w:r>
      <w:r w:rsidR="00F73457" w:rsidRPr="00E42614">
        <w:rPr>
          <w:rFonts w:ascii="Poppins" w:eastAsia="Times New Roman" w:hAnsi="Poppins" w:cs="Poppins"/>
          <w:sz w:val="21"/>
          <w:szCs w:val="21"/>
          <w:lang w:eastAsia="en-GB"/>
        </w:rPr>
        <w:t xml:space="preserve">atients </w:t>
      </w:r>
      <w:r w:rsidR="00656262" w:rsidRPr="00E42614">
        <w:rPr>
          <w:rFonts w:ascii="Poppins" w:eastAsia="Times New Roman" w:hAnsi="Poppins" w:cs="Poppins"/>
          <w:sz w:val="21"/>
          <w:szCs w:val="21"/>
          <w:lang w:eastAsia="en-GB"/>
        </w:rPr>
        <w:t xml:space="preserve">who </w:t>
      </w:r>
      <w:r w:rsidR="00F73457" w:rsidRPr="00E42614">
        <w:rPr>
          <w:rFonts w:ascii="Poppins" w:eastAsia="Times New Roman" w:hAnsi="Poppins" w:cs="Poppins"/>
          <w:sz w:val="21"/>
          <w:szCs w:val="21"/>
          <w:lang w:eastAsia="en-GB"/>
        </w:rPr>
        <w:t>may be</w:t>
      </w:r>
      <w:r w:rsidR="00656262" w:rsidRPr="00E42614">
        <w:rPr>
          <w:rFonts w:ascii="Poppins" w:eastAsia="Times New Roman" w:hAnsi="Poppins" w:cs="Poppins"/>
          <w:sz w:val="21"/>
          <w:szCs w:val="21"/>
          <w:lang w:eastAsia="en-GB"/>
        </w:rPr>
        <w:t xml:space="preserve"> identified as having Stage 2 T1D</w:t>
      </w:r>
      <w:r w:rsidR="00683650" w:rsidRPr="00E42614">
        <w:rPr>
          <w:rFonts w:ascii="Poppins" w:eastAsia="Times New Roman" w:hAnsi="Poppins" w:cs="Poppins"/>
          <w:sz w:val="21"/>
          <w:szCs w:val="21"/>
          <w:vertAlign w:val="superscript"/>
          <w:lang w:eastAsia="en-GB"/>
        </w:rPr>
        <w:t>(NICE, 2026b)</w:t>
      </w:r>
      <w:r w:rsidR="007C4B83" w:rsidRPr="00E42614">
        <w:rPr>
          <w:rFonts w:ascii="Poppins" w:eastAsia="Times New Roman" w:hAnsi="Poppins" w:cs="Poppins"/>
          <w:sz w:val="21"/>
          <w:szCs w:val="21"/>
          <w:lang w:eastAsia="en-GB"/>
        </w:rPr>
        <w:t xml:space="preserve"> </w:t>
      </w:r>
    </w:p>
    <w:p w14:paraId="348C78EE" w14:textId="5CAC5384" w:rsidR="00656262" w:rsidRPr="00E42614"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People identified in research studies</w:t>
      </w:r>
    </w:p>
    <w:p w14:paraId="1E9962A8" w14:textId="31C189BA" w:rsidR="00656262" w:rsidRPr="00E42614"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People tested because of clinical concerns about hyperglycaemia</w:t>
      </w:r>
    </w:p>
    <w:p w14:paraId="47E90536" w14:textId="39CE0334" w:rsidR="00656262" w:rsidRPr="00E42614"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Those who have a first-degree relative with T1D</w:t>
      </w:r>
    </w:p>
    <w:p w14:paraId="3A7CA66D" w14:textId="77777777" w:rsidR="002F5C36"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Members of the public requesting autoantibody testing</w:t>
      </w:r>
      <w:bookmarkStart w:id="7" w:name="_Eligibility_assessment"/>
      <w:bookmarkStart w:id="8" w:name="_Toc237332033"/>
      <w:bookmarkEnd w:id="7"/>
    </w:p>
    <w:p w14:paraId="5B0982AE" w14:textId="5D1F1082" w:rsidR="002F5C36" w:rsidRPr="00E42614" w:rsidRDefault="002F5C36" w:rsidP="00460C6C">
      <w:pPr>
        <w:pStyle w:val="Heading1"/>
        <w:spacing w:before="120"/>
        <w:rPr>
          <w:lang w:eastAsia="en-GB"/>
        </w:rPr>
      </w:pPr>
      <w:r>
        <w:rPr>
          <w:lang w:eastAsia="en-GB"/>
        </w:rPr>
        <w:lastRenderedPageBreak/>
        <w:t>Pre-treatment pathway</w:t>
      </w:r>
    </w:p>
    <w:p w14:paraId="394CF16B" w14:textId="0BC92A9D" w:rsidR="00614D9A" w:rsidRPr="00460C6C" w:rsidRDefault="000F732E" w:rsidP="00460C6C">
      <w:pPr>
        <w:spacing w:before="120" w:after="120" w:line="240" w:lineRule="auto"/>
        <w:rPr>
          <w:rFonts w:ascii="Poppins" w:eastAsia="Times New Roman" w:hAnsi="Poppins" w:cs="Poppins"/>
          <w:sz w:val="21"/>
          <w:szCs w:val="21"/>
          <w:lang w:eastAsia="en-GB"/>
        </w:rPr>
      </w:pPr>
      <w:r>
        <w:rPr>
          <w:noProof/>
          <w:lang w:eastAsia="en-GB"/>
        </w:rPr>
        <w:drawing>
          <wp:anchor distT="0" distB="0" distL="114300" distR="114300" simplePos="0" relativeHeight="251726848" behindDoc="0" locked="0" layoutInCell="1" allowOverlap="1" wp14:anchorId="78B43E2F" wp14:editId="5EE849AF">
            <wp:simplePos x="0" y="0"/>
            <wp:positionH relativeFrom="margin">
              <wp:posOffset>-59690</wp:posOffset>
            </wp:positionH>
            <wp:positionV relativeFrom="paragraph">
              <wp:posOffset>231775</wp:posOffset>
            </wp:positionV>
            <wp:extent cx="5599430" cy="6545580"/>
            <wp:effectExtent l="0" t="0" r="1270" b="7620"/>
            <wp:wrapTopAndBottom/>
            <wp:docPr id="7023412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341212" name="Picture 13"/>
                    <pic:cNvPicPr>
                      <a:picLocks noChangeAspect="1" noChangeArrowheads="1"/>
                    </pic:cNvPicPr>
                  </pic:nvPicPr>
                  <pic:blipFill>
                    <a:blip r:embed="rId16"/>
                    <a:stretch>
                      <a:fillRect/>
                    </a:stretch>
                  </pic:blipFill>
                  <pic:spPr bwMode="auto">
                    <a:xfrm>
                      <a:off x="0" y="0"/>
                      <a:ext cx="5599430" cy="6545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4D9A">
        <w:rPr>
          <w:lang w:eastAsia="en-GB"/>
        </w:rPr>
        <w:br w:type="page"/>
      </w:r>
    </w:p>
    <w:p w14:paraId="514E00AC" w14:textId="448B912B" w:rsidR="00E3749C" w:rsidRPr="00E42614" w:rsidRDefault="00E3749C" w:rsidP="00974651">
      <w:pPr>
        <w:pStyle w:val="Heading1"/>
        <w:spacing w:before="120" w:after="120"/>
        <w:rPr>
          <w:lang w:eastAsia="en-GB"/>
        </w:rPr>
      </w:pPr>
      <w:r w:rsidRPr="00E42614">
        <w:rPr>
          <w:lang w:eastAsia="en-GB"/>
        </w:rPr>
        <w:lastRenderedPageBreak/>
        <w:t xml:space="preserve">Eligibility </w:t>
      </w:r>
      <w:r w:rsidR="00A93403" w:rsidRPr="00E42614">
        <w:rPr>
          <w:lang w:eastAsia="en-GB"/>
        </w:rPr>
        <w:t>a</w:t>
      </w:r>
      <w:r w:rsidRPr="00E42614">
        <w:rPr>
          <w:lang w:eastAsia="en-GB"/>
        </w:rPr>
        <w:t>ssessment</w:t>
      </w:r>
      <w:bookmarkEnd w:id="8"/>
    </w:p>
    <w:p w14:paraId="1FB0FF32" w14:textId="071B657F" w:rsidR="00355640" w:rsidRPr="001B1738" w:rsidRDefault="00E3749C" w:rsidP="00974651">
      <w:pPr>
        <w:spacing w:before="120" w:after="120" w:line="240" w:lineRule="auto"/>
        <w:rPr>
          <w:rFonts w:ascii="Poppins" w:eastAsia="Times New Roman" w:hAnsi="Poppins" w:cs="Poppins"/>
          <w:b/>
          <w:bCs/>
          <w:sz w:val="21"/>
          <w:szCs w:val="21"/>
          <w:lang w:eastAsia="en-GB"/>
        </w:rPr>
      </w:pPr>
      <w:r w:rsidRPr="001B1738">
        <w:rPr>
          <w:rFonts w:ascii="Poppins" w:eastAsia="Times New Roman" w:hAnsi="Poppins" w:cs="Poppins"/>
          <w:b/>
          <w:bCs/>
          <w:sz w:val="21"/>
          <w:szCs w:val="21"/>
          <w:lang w:eastAsia="en-GB"/>
        </w:rPr>
        <w:t xml:space="preserve">Patients must meet </w:t>
      </w:r>
      <w:r w:rsidR="00896AB6" w:rsidRPr="001B1738">
        <w:rPr>
          <w:rFonts w:ascii="Poppins" w:eastAsia="Times New Roman" w:hAnsi="Poppins" w:cs="Poppins"/>
          <w:b/>
          <w:bCs/>
          <w:sz w:val="21"/>
          <w:szCs w:val="21"/>
          <w:lang w:eastAsia="en-GB"/>
        </w:rPr>
        <w:t>all</w:t>
      </w:r>
      <w:r w:rsidRPr="001B1738">
        <w:rPr>
          <w:rFonts w:ascii="Poppins" w:eastAsia="Times New Roman" w:hAnsi="Poppins" w:cs="Poppins"/>
          <w:b/>
          <w:bCs/>
          <w:sz w:val="21"/>
          <w:szCs w:val="21"/>
          <w:lang w:eastAsia="en-GB"/>
        </w:rPr>
        <w:t xml:space="preserve"> the following:</w:t>
      </w:r>
    </w:p>
    <w:p w14:paraId="226407B4" w14:textId="7BB71A31" w:rsidR="00E3749C" w:rsidRPr="00E42614" w:rsidRDefault="00E3749C"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Inclusion </w:t>
      </w:r>
      <w:r w:rsidR="00896AB6" w:rsidRPr="00E42614">
        <w:rPr>
          <w:rFonts w:ascii="Poppins" w:eastAsia="Times New Roman" w:hAnsi="Poppins" w:cs="Poppins"/>
          <w:b/>
          <w:bCs/>
          <w:lang w:eastAsia="en-GB"/>
        </w:rPr>
        <w:t>c</w:t>
      </w:r>
      <w:r w:rsidRPr="00E42614">
        <w:rPr>
          <w:rFonts w:ascii="Poppins" w:eastAsia="Times New Roman" w:hAnsi="Poppins" w:cs="Poppins"/>
          <w:b/>
          <w:bCs/>
          <w:lang w:eastAsia="en-GB"/>
        </w:rPr>
        <w:t>riteria</w:t>
      </w:r>
      <w:r w:rsidR="002C404C"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C404C" w:rsidRPr="00E42614">
        <w:rPr>
          <w:rFonts w:ascii="Poppins" w:hAnsi="Poppins" w:cs="Poppins"/>
          <w:spacing w:val="-2"/>
        </w:rPr>
        <w:fldChar w:fldCharType="separate"/>
      </w:r>
      <w:r w:rsidR="002C404C" w:rsidRPr="00E42614">
        <w:rPr>
          <w:rFonts w:ascii="Poppins" w:hAnsi="Poppins" w:cs="Poppins"/>
          <w:noProof/>
          <w:spacing w:val="-2"/>
          <w:vertAlign w:val="superscript"/>
        </w:rPr>
        <w:t>(TZIELD® SmPC)</w:t>
      </w:r>
      <w:r w:rsidR="002C404C" w:rsidRPr="00E42614">
        <w:rPr>
          <w:rFonts w:ascii="Poppins" w:hAnsi="Poppins" w:cs="Poppins"/>
          <w:spacing w:val="-2"/>
        </w:rPr>
        <w:fldChar w:fldCharType="end"/>
      </w:r>
    </w:p>
    <w:p w14:paraId="728842F4" w14:textId="77777777" w:rsidR="00E3749C"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Age ≥8 years</w:t>
      </w:r>
    </w:p>
    <w:p w14:paraId="707D7E2D" w14:textId="77777777" w:rsidR="00E3749C"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Confirmed Stage 2 T1D</w:t>
      </w:r>
    </w:p>
    <w:p w14:paraId="30618DCE" w14:textId="77777777" w:rsidR="00955F48" w:rsidRPr="00955F48" w:rsidRDefault="0087339F" w:rsidP="00D87B2C">
      <w:pPr>
        <w:numPr>
          <w:ilvl w:val="0"/>
          <w:numId w:val="13"/>
        </w:numPr>
        <w:spacing w:before="60" w:after="60" w:line="240" w:lineRule="auto"/>
        <w:ind w:left="357" w:hanging="357"/>
        <w:rPr>
          <w:rFonts w:ascii="Poppins" w:eastAsia="Times New Roman" w:hAnsi="Poppins" w:cs="Poppins"/>
          <w:sz w:val="21"/>
          <w:szCs w:val="21"/>
          <w:lang w:val="en-US" w:eastAsia="en-GB"/>
        </w:rPr>
      </w:pPr>
      <w:r w:rsidRPr="00E42614">
        <w:rPr>
          <w:rFonts w:ascii="Poppins" w:eastAsia="Times New Roman" w:hAnsi="Poppins" w:cs="Poppins"/>
          <w:sz w:val="21"/>
          <w:szCs w:val="21"/>
          <w:lang w:eastAsia="en-GB"/>
        </w:rPr>
        <w:t>A</w:t>
      </w:r>
      <w:r w:rsidR="00355640" w:rsidRPr="00E42614">
        <w:rPr>
          <w:rFonts w:ascii="Poppins" w:eastAsia="Times New Roman" w:hAnsi="Poppins" w:cs="Poppins"/>
          <w:sz w:val="21"/>
          <w:szCs w:val="21"/>
          <w:lang w:eastAsia="en-GB"/>
        </w:rPr>
        <w:t>ge-appropriate</w:t>
      </w:r>
      <w:r w:rsidRPr="00E42614">
        <w:rPr>
          <w:rFonts w:ascii="Poppins" w:eastAsia="Times New Roman" w:hAnsi="Poppins" w:cs="Poppins"/>
          <w:sz w:val="21"/>
          <w:szCs w:val="21"/>
          <w:lang w:eastAsia="en-GB"/>
        </w:rPr>
        <w:t xml:space="preserve"> live-attenuated</w:t>
      </w:r>
      <w:r w:rsidR="00355640" w:rsidRPr="00E42614">
        <w:rPr>
          <w:rFonts w:ascii="Poppins" w:eastAsia="Times New Roman" w:hAnsi="Poppins" w:cs="Poppins"/>
          <w:sz w:val="21"/>
          <w:szCs w:val="21"/>
          <w:lang w:eastAsia="en-GB"/>
        </w:rPr>
        <w:t xml:space="preserve"> vaccinations administered</w:t>
      </w:r>
      <w:r w:rsidRPr="00E42614">
        <w:rPr>
          <w:rFonts w:ascii="Poppins" w:eastAsia="Times New Roman" w:hAnsi="Poppins" w:cs="Poppins"/>
          <w:sz w:val="21"/>
          <w:szCs w:val="21"/>
          <w:lang w:eastAsia="en-GB"/>
        </w:rPr>
        <w:t xml:space="preserve"> </w:t>
      </w:r>
      <w:r w:rsidR="001B1738">
        <w:rPr>
          <w:rFonts w:ascii="Poppins" w:eastAsia="Times New Roman" w:hAnsi="Poppins" w:cs="Poppins"/>
          <w:sz w:val="21"/>
          <w:szCs w:val="21"/>
          <w:lang w:eastAsia="en-GB"/>
        </w:rPr>
        <w:t>at least</w:t>
      </w:r>
      <w:r w:rsidRPr="00E42614">
        <w:rPr>
          <w:rFonts w:ascii="Poppins" w:eastAsia="Times New Roman" w:hAnsi="Poppins" w:cs="Poppins"/>
          <w:sz w:val="21"/>
          <w:szCs w:val="21"/>
          <w:lang w:eastAsia="en-GB"/>
        </w:rPr>
        <w:t xml:space="preserve"> 8</w:t>
      </w:r>
      <w:r w:rsidR="00006262">
        <w:rPr>
          <w:rFonts w:ascii="Poppins" w:eastAsia="Times New Roman" w:hAnsi="Poppins" w:cs="Poppins"/>
          <w:sz w:val="21"/>
          <w:szCs w:val="21"/>
          <w:lang w:eastAsia="en-GB"/>
        </w:rPr>
        <w:t> </w:t>
      </w:r>
      <w:r w:rsidRPr="00E42614">
        <w:rPr>
          <w:rFonts w:ascii="Poppins" w:eastAsia="Times New Roman" w:hAnsi="Poppins" w:cs="Poppins"/>
          <w:sz w:val="21"/>
          <w:szCs w:val="21"/>
          <w:lang w:eastAsia="en-GB"/>
        </w:rPr>
        <w:t>weeks</w:t>
      </w:r>
      <w:r w:rsidR="00355640" w:rsidRPr="00E42614">
        <w:rPr>
          <w:rFonts w:ascii="Poppins" w:eastAsia="Times New Roman" w:hAnsi="Poppins" w:cs="Poppins"/>
          <w:sz w:val="21"/>
          <w:szCs w:val="21"/>
          <w:lang w:eastAsia="en-GB"/>
        </w:rPr>
        <w:t xml:space="preserve"> prior to starting teplizumab</w:t>
      </w:r>
      <w:r w:rsidRPr="00E42614">
        <w:rPr>
          <w:rFonts w:ascii="Poppins" w:eastAsia="Times New Roman" w:hAnsi="Poppins" w:cs="Poppins"/>
          <w:sz w:val="21"/>
          <w:szCs w:val="21"/>
          <w:lang w:eastAsia="en-GB"/>
        </w:rPr>
        <w:t xml:space="preserve"> </w:t>
      </w:r>
      <w:r w:rsidR="00955F48" w:rsidRPr="00955F48">
        <w:rPr>
          <w:rFonts w:ascii="Poppins" w:eastAsia="Times New Roman" w:hAnsi="Poppins" w:cs="Poppins"/>
          <w:sz w:val="21"/>
          <w:szCs w:val="21"/>
          <w:lang w:val="en-US" w:eastAsia="en-GB"/>
        </w:rPr>
        <w:t>and inactivated or mRNA vaccinations administered at least 2 weeks prior to treatment</w:t>
      </w:r>
    </w:p>
    <w:p w14:paraId="34C0EB18" w14:textId="2335E848" w:rsidR="00004D43" w:rsidRPr="00E42614" w:rsidRDefault="00B64089"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w:t>
      </w:r>
      <w:r w:rsidR="001F4FC7" w:rsidRPr="00E42614">
        <w:rPr>
          <w:rFonts w:ascii="Poppins" w:eastAsia="Times New Roman" w:hAnsi="Poppins" w:cs="Poppins"/>
          <w:sz w:val="21"/>
          <w:szCs w:val="21"/>
          <w:lang w:eastAsia="en-GB"/>
        </w:rPr>
        <w:t>egative pregnancy test (for females of reproductive age). Breast feeding should be discontinued during teplizumab administration</w:t>
      </w:r>
    </w:p>
    <w:p w14:paraId="29F1B702" w14:textId="727C576C" w:rsidR="00355640" w:rsidRPr="00E42614" w:rsidRDefault="00355640"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No contraindications to teplizumab (as listed under exclusion criteria)</w:t>
      </w:r>
    </w:p>
    <w:p w14:paraId="259B96D5" w14:textId="77777777" w:rsidR="00355640"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Fit for infusion treatment</w:t>
      </w:r>
    </w:p>
    <w:p w14:paraId="15606DFB" w14:textId="77777777" w:rsidR="00E3749C"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Able to comply with monitoring requirements</w:t>
      </w:r>
    </w:p>
    <w:p w14:paraId="3E131976" w14:textId="3DD32BD0" w:rsidR="00852857" w:rsidRPr="00E42614" w:rsidRDefault="00852857" w:rsidP="00974651">
      <w:pPr>
        <w:spacing w:before="240" w:after="120" w:line="240" w:lineRule="auto"/>
        <w:rPr>
          <w:rFonts w:ascii="Poppins" w:eastAsia="Times New Roman" w:hAnsi="Poppins" w:cs="Poppins"/>
          <w:b/>
          <w:bCs/>
          <w:sz w:val="21"/>
          <w:szCs w:val="21"/>
          <w:lang w:eastAsia="en-GB"/>
        </w:rPr>
      </w:pPr>
      <w:r w:rsidRPr="00BC64F6">
        <w:rPr>
          <w:rFonts w:ascii="Poppins" w:eastAsia="Times New Roman" w:hAnsi="Poppins" w:cs="Poppins"/>
          <w:b/>
          <w:bCs/>
          <w:sz w:val="21"/>
          <w:szCs w:val="21"/>
          <w:lang w:eastAsia="en-GB"/>
        </w:rPr>
        <w:t>Patients will be deemed unsuitable for treatment if they meet any of the following:</w:t>
      </w:r>
      <w:r w:rsidR="00BC64F6" w:rsidRPr="00E42614">
        <w:rPr>
          <w:rFonts w:ascii="Poppins" w:eastAsia="Times New Roman" w:hAnsi="Poppins" w:cs="Poppins"/>
          <w:b/>
          <w:bCs/>
          <w:sz w:val="21"/>
          <w:szCs w:val="21"/>
          <w:lang w:eastAsia="en-GB"/>
        </w:rPr>
        <w:t xml:space="preserve"> </w:t>
      </w:r>
    </w:p>
    <w:p w14:paraId="2F67F2BA" w14:textId="7B0E6B27" w:rsidR="00E3749C" w:rsidRPr="00E42614" w:rsidRDefault="00E3749C" w:rsidP="00974651">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Exclusion </w:t>
      </w:r>
      <w:r w:rsidR="00896AB6" w:rsidRPr="00E42614">
        <w:rPr>
          <w:rFonts w:ascii="Poppins" w:eastAsia="Times New Roman" w:hAnsi="Poppins" w:cs="Poppins"/>
          <w:b/>
          <w:bCs/>
          <w:lang w:eastAsia="en-GB"/>
        </w:rPr>
        <w:t>c</w:t>
      </w:r>
      <w:r w:rsidRPr="00E42614">
        <w:rPr>
          <w:rFonts w:ascii="Poppins" w:eastAsia="Times New Roman" w:hAnsi="Poppins" w:cs="Poppins"/>
          <w:b/>
          <w:bCs/>
          <w:lang w:eastAsia="en-GB"/>
        </w:rPr>
        <w:t>riteria</w:t>
      </w:r>
      <w:r w:rsidR="002C404C"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C404C" w:rsidRPr="00E42614">
        <w:rPr>
          <w:rFonts w:ascii="Poppins" w:hAnsi="Poppins" w:cs="Poppins"/>
          <w:spacing w:val="-2"/>
        </w:rPr>
        <w:fldChar w:fldCharType="separate"/>
      </w:r>
      <w:r w:rsidR="002C404C" w:rsidRPr="00E42614">
        <w:rPr>
          <w:rFonts w:ascii="Poppins" w:hAnsi="Poppins" w:cs="Poppins"/>
          <w:noProof/>
          <w:spacing w:val="-2"/>
          <w:vertAlign w:val="superscript"/>
        </w:rPr>
        <w:t>(TZIELD® SmPC)</w:t>
      </w:r>
      <w:r w:rsidR="002C404C" w:rsidRPr="00E42614">
        <w:rPr>
          <w:rFonts w:ascii="Poppins" w:hAnsi="Poppins" w:cs="Poppins"/>
          <w:spacing w:val="-2"/>
        </w:rPr>
        <w:fldChar w:fldCharType="end"/>
      </w:r>
    </w:p>
    <w:p w14:paraId="5058E5BA" w14:textId="37CDC085" w:rsidR="00BF318D" w:rsidRPr="00E42614" w:rsidRDefault="00BF318D" w:rsidP="00BF318D">
      <w:pPr>
        <w:numPr>
          <w:ilvl w:val="0"/>
          <w:numId w:val="14"/>
        </w:numPr>
        <w:spacing w:before="60" w:after="6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Age </w:t>
      </w:r>
      <w:r>
        <w:rPr>
          <w:rFonts w:ascii="Poppins" w:eastAsia="Times New Roman" w:hAnsi="Poppins" w:cs="Poppins"/>
          <w:sz w:val="21"/>
          <w:szCs w:val="21"/>
          <w:lang w:eastAsia="en-GB"/>
        </w:rPr>
        <w:t>&lt;</w:t>
      </w:r>
      <w:r w:rsidRPr="00E42614">
        <w:rPr>
          <w:rFonts w:ascii="Poppins" w:eastAsia="Times New Roman" w:hAnsi="Poppins" w:cs="Poppins"/>
          <w:sz w:val="21"/>
          <w:szCs w:val="21"/>
          <w:lang w:eastAsia="en-GB"/>
        </w:rPr>
        <w:t>8 years</w:t>
      </w:r>
    </w:p>
    <w:p w14:paraId="41D79A6B" w14:textId="35FE76D1" w:rsidR="00E3749C" w:rsidRDefault="00E3749C" w:rsidP="00D87B2C">
      <w:pPr>
        <w:numPr>
          <w:ilvl w:val="0"/>
          <w:numId w:val="14"/>
        </w:numPr>
        <w:spacing w:before="60" w:after="60" w:line="240" w:lineRule="auto"/>
        <w:ind w:left="36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Established Stage 3 </w:t>
      </w:r>
      <w:r w:rsidR="00355640" w:rsidRPr="00E42614">
        <w:rPr>
          <w:rFonts w:ascii="Poppins" w:eastAsia="Times New Roman" w:hAnsi="Poppins" w:cs="Poppins"/>
          <w:sz w:val="21"/>
          <w:szCs w:val="21"/>
          <w:lang w:eastAsia="en-GB"/>
        </w:rPr>
        <w:t>T1D</w:t>
      </w:r>
    </w:p>
    <w:p w14:paraId="5B740382" w14:textId="4103568E" w:rsidR="00BC64F6" w:rsidRPr="00E42614" w:rsidRDefault="00BC64F6" w:rsidP="00D87B2C">
      <w:pPr>
        <w:numPr>
          <w:ilvl w:val="0"/>
          <w:numId w:val="14"/>
        </w:numPr>
        <w:spacing w:before="60" w:after="60" w:line="240" w:lineRule="auto"/>
        <w:ind w:left="360"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Clinical history suggestive </w:t>
      </w:r>
      <w:r w:rsidR="008A2283">
        <w:rPr>
          <w:rFonts w:ascii="Poppins" w:eastAsia="Times New Roman" w:hAnsi="Poppins" w:cs="Poppins"/>
          <w:sz w:val="21"/>
          <w:szCs w:val="21"/>
          <w:lang w:eastAsia="en-GB"/>
        </w:rPr>
        <w:t>o</w:t>
      </w:r>
      <w:r>
        <w:rPr>
          <w:rFonts w:ascii="Poppins" w:eastAsia="Times New Roman" w:hAnsi="Poppins" w:cs="Poppins"/>
          <w:sz w:val="21"/>
          <w:szCs w:val="21"/>
          <w:lang w:eastAsia="en-GB"/>
        </w:rPr>
        <w:t>f type 2 diabetes</w:t>
      </w:r>
    </w:p>
    <w:p w14:paraId="26D2DC52" w14:textId="2D4ABF3C" w:rsidR="00E3749C" w:rsidRPr="00E42614" w:rsidRDefault="00E3749C" w:rsidP="00D87B2C">
      <w:pPr>
        <w:numPr>
          <w:ilvl w:val="0"/>
          <w:numId w:val="14"/>
        </w:numPr>
        <w:spacing w:before="60" w:after="60" w:line="240" w:lineRule="auto"/>
        <w:ind w:left="36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Pregnancy</w:t>
      </w:r>
      <w:r w:rsidR="004974B8">
        <w:rPr>
          <w:rFonts w:ascii="Poppins" w:eastAsia="Times New Roman" w:hAnsi="Poppins" w:cs="Poppins"/>
          <w:sz w:val="21"/>
          <w:szCs w:val="21"/>
          <w:lang w:eastAsia="en-GB"/>
        </w:rPr>
        <w:t xml:space="preserve"> or breastfeeding during proposed treatment period</w:t>
      </w:r>
    </w:p>
    <w:p w14:paraId="0E54C6D4" w14:textId="503FBDBF" w:rsidR="00355640" w:rsidRPr="00E42614" w:rsidRDefault="00E9425D" w:rsidP="00D87B2C">
      <w:pPr>
        <w:numPr>
          <w:ilvl w:val="0"/>
          <w:numId w:val="14"/>
        </w:numPr>
        <w:spacing w:before="60" w:after="60" w:line="240" w:lineRule="auto"/>
        <w:ind w:left="36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Hypersensitivity to teplizumab or any of the following excipients</w:t>
      </w:r>
      <w:r w:rsidR="00355640" w:rsidRPr="00E42614">
        <w:rPr>
          <w:rFonts w:ascii="Poppins" w:eastAsia="Times New Roman" w:hAnsi="Poppins" w:cs="Poppins"/>
          <w:sz w:val="21"/>
          <w:szCs w:val="21"/>
          <w:lang w:eastAsia="en-GB"/>
        </w:rPr>
        <w:t>:</w:t>
      </w:r>
    </w:p>
    <w:p w14:paraId="09457A07" w14:textId="77777777" w:rsidR="00E9425D" w:rsidRPr="00E42614" w:rsidRDefault="00E9425D" w:rsidP="00D87B2C">
      <w:pPr>
        <w:numPr>
          <w:ilvl w:val="1"/>
          <w:numId w:val="14"/>
        </w:numPr>
        <w:spacing w:before="60" w:after="60" w:line="240" w:lineRule="auto"/>
        <w:ind w:left="70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Dibasic sodium phosphate (E339)</w:t>
      </w:r>
    </w:p>
    <w:p w14:paraId="10CAE74A" w14:textId="77777777" w:rsidR="00E9425D" w:rsidRPr="00E42614" w:rsidRDefault="00E9425D" w:rsidP="00D87B2C">
      <w:pPr>
        <w:numPr>
          <w:ilvl w:val="1"/>
          <w:numId w:val="14"/>
        </w:numPr>
        <w:spacing w:before="60" w:after="60" w:line="240" w:lineRule="auto"/>
        <w:ind w:left="70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Monobasic sodium phosphate (E339)</w:t>
      </w:r>
    </w:p>
    <w:p w14:paraId="52402569" w14:textId="77777777" w:rsidR="00E9425D" w:rsidRDefault="00E9425D" w:rsidP="00D87B2C">
      <w:pPr>
        <w:numPr>
          <w:ilvl w:val="1"/>
          <w:numId w:val="14"/>
        </w:numPr>
        <w:spacing w:before="60" w:after="60" w:line="240" w:lineRule="auto"/>
        <w:ind w:left="70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Polysorbate 80 (E433)</w:t>
      </w:r>
    </w:p>
    <w:p w14:paraId="28438365" w14:textId="1556BEB3" w:rsidR="00E13AFD" w:rsidRDefault="00E13AFD" w:rsidP="00D87B2C">
      <w:pPr>
        <w:numPr>
          <w:ilvl w:val="1"/>
          <w:numId w:val="14"/>
        </w:numPr>
        <w:spacing w:before="60" w:after="60" w:line="240" w:lineRule="auto"/>
        <w:ind w:left="700" w:hanging="357"/>
        <w:rPr>
          <w:rFonts w:ascii="Poppins" w:eastAsia="Times New Roman" w:hAnsi="Poppins" w:cs="Poppins"/>
          <w:sz w:val="21"/>
          <w:szCs w:val="21"/>
          <w:lang w:eastAsia="en-GB"/>
        </w:rPr>
      </w:pPr>
      <w:r>
        <w:rPr>
          <w:rFonts w:ascii="Poppins" w:eastAsia="Times New Roman" w:hAnsi="Poppins" w:cs="Poppins"/>
          <w:sz w:val="21"/>
          <w:szCs w:val="21"/>
          <w:lang w:eastAsia="en-GB"/>
        </w:rPr>
        <w:t>Sodium chloride</w:t>
      </w:r>
    </w:p>
    <w:p w14:paraId="457BBB3D" w14:textId="218EFB55" w:rsidR="00543033" w:rsidRPr="00E42614" w:rsidRDefault="00543033" w:rsidP="00D87B2C">
      <w:pPr>
        <w:numPr>
          <w:ilvl w:val="1"/>
          <w:numId w:val="14"/>
        </w:numPr>
        <w:spacing w:before="60" w:after="60" w:line="240" w:lineRule="auto"/>
        <w:ind w:left="700"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Water </w:t>
      </w:r>
    </w:p>
    <w:p w14:paraId="7F6DEDE2" w14:textId="5D371855" w:rsidR="00542E99" w:rsidRPr="00E42614" w:rsidRDefault="00542E99" w:rsidP="00D87B2C">
      <w:pPr>
        <w:numPr>
          <w:ilvl w:val="0"/>
          <w:numId w:val="14"/>
        </w:numPr>
        <w:spacing w:before="120" w:after="60" w:line="240" w:lineRule="auto"/>
        <w:ind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Use of teplizumab not recommended </w:t>
      </w:r>
      <w:r w:rsidR="002C404C" w:rsidRPr="00E42614">
        <w:rPr>
          <w:rFonts w:ascii="Poppins" w:eastAsia="Times New Roman" w:hAnsi="Poppins" w:cs="Poppins"/>
          <w:sz w:val="21"/>
          <w:szCs w:val="21"/>
          <w:lang w:eastAsia="en-GB"/>
        </w:rPr>
        <w:t>if</w:t>
      </w:r>
      <w:r w:rsidRPr="00E42614">
        <w:rPr>
          <w:rFonts w:ascii="Poppins" w:eastAsia="Times New Roman" w:hAnsi="Poppins" w:cs="Poppins"/>
          <w:sz w:val="21"/>
          <w:szCs w:val="21"/>
          <w:lang w:eastAsia="en-GB"/>
        </w:rPr>
        <w:t xml:space="preserve">: </w:t>
      </w:r>
    </w:p>
    <w:p w14:paraId="366B09E4" w14:textId="46358700"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Lymphocyte count less than </w:t>
      </w:r>
      <w:r w:rsidR="00BC64F6">
        <w:rPr>
          <w:rFonts w:ascii="Poppins" w:eastAsia="Times New Roman" w:hAnsi="Poppins" w:cs="Poppins"/>
          <w:sz w:val="21"/>
          <w:szCs w:val="21"/>
          <w:lang w:eastAsia="en-GB"/>
        </w:rPr>
        <w:t xml:space="preserve">1.0 x </w:t>
      </w:r>
      <w:r w:rsidRPr="00E42614">
        <w:rPr>
          <w:rFonts w:ascii="Poppins" w:eastAsia="Times New Roman" w:hAnsi="Poppins" w:cs="Poppins"/>
          <w:sz w:val="21"/>
          <w:szCs w:val="21"/>
          <w:lang w:eastAsia="en-GB"/>
        </w:rPr>
        <w:t>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lymphocytes/L </w:t>
      </w:r>
    </w:p>
    <w:p w14:paraId="6972960E"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Haemoglobin less than 100 g/L </w:t>
      </w:r>
    </w:p>
    <w:p w14:paraId="39E9E059"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Platelet count less than 150 x 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platelets/L </w:t>
      </w:r>
    </w:p>
    <w:p w14:paraId="70C8E71D"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Absolute neutrophil count less than 1.0 x 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neutrophils/L in those of African descent and less than 1.5 x 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neutrophils/L in all other groups  </w:t>
      </w:r>
    </w:p>
    <w:p w14:paraId="75AEA1C9"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lastRenderedPageBreak/>
        <w:t xml:space="preserve">Elevated alanine aminotransferase (ALT) or aspartate aminotransferase (AST) greater than 2 times the upper limit of normal (ULN) or bilirubin greater than 1.5 times ULN </w:t>
      </w:r>
    </w:p>
    <w:p w14:paraId="606D2B7B"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Laboratory or clinical evidence of acute infection with EBV or CMV </w:t>
      </w:r>
    </w:p>
    <w:p w14:paraId="6E8C0EEE" w14:textId="77777777" w:rsidR="00C91C71" w:rsidRPr="00E42614" w:rsidRDefault="00542E99" w:rsidP="00D87B2C">
      <w:pPr>
        <w:pStyle w:val="ListParagraph"/>
        <w:numPr>
          <w:ilvl w:val="0"/>
          <w:numId w:val="14"/>
        </w:numPr>
        <w:spacing w:before="120" w:after="60" w:line="240" w:lineRule="auto"/>
        <w:ind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Active serious infection or chronic active infection other than localised skin infections</w:t>
      </w:r>
      <w:r w:rsidRPr="00E42614">
        <w:rPr>
          <w:rFonts w:ascii="Poppins" w:eastAsia="Times New Roman" w:hAnsi="Poppins" w:cs="Poppins"/>
          <w:sz w:val="21"/>
          <w:szCs w:val="21"/>
          <w:lang w:eastAsia="en-GB"/>
        </w:rPr>
        <w:fldChar w:fldCharType="begin"/>
      </w:r>
      <w:r w:rsidRPr="00E42614">
        <w:rPr>
          <w:rFonts w:ascii="Poppins" w:eastAsia="Times New Roman" w:hAnsi="Poppins" w:cs="Poppins"/>
          <w:sz w:val="21"/>
          <w:szCs w:val="21"/>
          <w:lang w:eastAsia="en-GB"/>
        </w:rPr>
        <w:instrText xml:space="preserve"> DOCVARIABLE vault_nd_01f1a14c-62f8-4b4b-afba-7bf5c745bb8b \* MERGEFORMAT </w:instrText>
      </w:r>
      <w:r w:rsidRPr="00E42614">
        <w:rPr>
          <w:rFonts w:ascii="Poppins" w:eastAsia="Times New Roman" w:hAnsi="Poppins" w:cs="Poppins"/>
          <w:sz w:val="21"/>
          <w:szCs w:val="21"/>
          <w:lang w:eastAsia="en-GB"/>
        </w:rPr>
        <w:fldChar w:fldCharType="separate"/>
      </w:r>
      <w:r w:rsidRPr="00E42614">
        <w:rPr>
          <w:rFonts w:ascii="Poppins" w:eastAsia="Times New Roman" w:hAnsi="Poppins" w:cs="Poppins"/>
          <w:sz w:val="21"/>
          <w:szCs w:val="21"/>
          <w:lang w:eastAsia="en-GB"/>
        </w:rPr>
        <w:t xml:space="preserve"> </w:t>
      </w:r>
      <w:r w:rsidRPr="00E42614">
        <w:rPr>
          <w:rFonts w:ascii="Poppins" w:eastAsia="Times New Roman" w:hAnsi="Poppins" w:cs="Poppins"/>
          <w:sz w:val="21"/>
          <w:szCs w:val="21"/>
          <w:lang w:eastAsia="en-GB"/>
        </w:rPr>
        <w:fldChar w:fldCharType="end"/>
      </w:r>
    </w:p>
    <w:p w14:paraId="786E1370" w14:textId="32A13C1E" w:rsidR="00E3749C" w:rsidRPr="00E42614" w:rsidRDefault="00E3749C" w:rsidP="00D87B2C">
      <w:pPr>
        <w:pStyle w:val="ListParagraph"/>
        <w:numPr>
          <w:ilvl w:val="0"/>
          <w:numId w:val="14"/>
        </w:numPr>
        <w:spacing w:before="60" w:after="60" w:line="240" w:lineRule="auto"/>
        <w:ind w:left="36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Clinician judgement that treatment risk outweighs benefit</w:t>
      </w:r>
    </w:p>
    <w:p w14:paraId="7D73EB11" w14:textId="19112043" w:rsidR="00A93403" w:rsidRPr="00E42614" w:rsidRDefault="00E3749C" w:rsidP="00974651">
      <w:pPr>
        <w:pStyle w:val="Heading1"/>
        <w:spacing w:before="240" w:after="120"/>
        <w:rPr>
          <w:lang w:eastAsia="en-GB"/>
        </w:rPr>
      </w:pPr>
      <w:bookmarkStart w:id="9" w:name="_Baseline_assessment"/>
      <w:bookmarkStart w:id="10" w:name="_Toc237332034"/>
      <w:bookmarkEnd w:id="9"/>
      <w:r w:rsidRPr="00E42614">
        <w:rPr>
          <w:lang w:eastAsia="en-GB"/>
        </w:rPr>
        <w:t xml:space="preserve">Baseline </w:t>
      </w:r>
      <w:r w:rsidR="00A93403" w:rsidRPr="00E42614">
        <w:rPr>
          <w:lang w:eastAsia="en-GB"/>
        </w:rPr>
        <w:t>a</w:t>
      </w:r>
      <w:r w:rsidRPr="00E42614">
        <w:rPr>
          <w:lang w:eastAsia="en-GB"/>
        </w:rPr>
        <w:t>ssessment</w:t>
      </w:r>
      <w:bookmarkEnd w:id="10"/>
    </w:p>
    <w:p w14:paraId="282598BF" w14:textId="1C582085" w:rsidR="00A93403" w:rsidRPr="00E42614" w:rsidRDefault="00E3749C"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Prior to treatment</w:t>
      </w:r>
      <w:r w:rsidR="00A93403" w:rsidRPr="00E42614">
        <w:rPr>
          <w:rFonts w:ascii="Poppins" w:eastAsia="Times New Roman" w:hAnsi="Poppins" w:cs="Poppins"/>
          <w:sz w:val="21"/>
          <w:szCs w:val="21"/>
          <w:lang w:eastAsia="en-GB"/>
        </w:rPr>
        <w:t xml:space="preserve"> a clinical and laboratory assessment should be performed</w:t>
      </w:r>
      <w:r w:rsidR="00BC64F6">
        <w:rPr>
          <w:rFonts w:ascii="Poppins" w:eastAsia="Times New Roman" w:hAnsi="Poppins" w:cs="Poppins"/>
          <w:sz w:val="21"/>
          <w:szCs w:val="21"/>
          <w:lang w:eastAsia="en-GB"/>
        </w:rPr>
        <w:t xml:space="preserve">. </w:t>
      </w:r>
      <w:r w:rsidR="00A93403" w:rsidRPr="00E42614">
        <w:rPr>
          <w:rFonts w:ascii="Poppins" w:eastAsia="Times New Roman" w:hAnsi="Poppins" w:cs="Poppins"/>
          <w:bCs/>
          <w:i/>
          <w:iCs/>
          <w:color w:val="808080" w:themeColor="background1" w:themeShade="80"/>
          <w:sz w:val="20"/>
          <w:szCs w:val="20"/>
        </w:rPr>
        <w:t xml:space="preserve">(add any local baseline review parameters according to Trust policies/processes) </w:t>
      </w:r>
    </w:p>
    <w:p w14:paraId="02F1A8F7" w14:textId="0FC9843D" w:rsidR="00E3749C" w:rsidRPr="00E42614" w:rsidRDefault="00E3749C"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Clinical </w:t>
      </w:r>
      <w:r w:rsidR="00896AB6" w:rsidRPr="00E42614">
        <w:rPr>
          <w:rFonts w:ascii="Poppins" w:eastAsia="Times New Roman" w:hAnsi="Poppins" w:cs="Poppins"/>
          <w:b/>
          <w:bCs/>
          <w:lang w:eastAsia="en-GB"/>
        </w:rPr>
        <w:t>r</w:t>
      </w:r>
      <w:r w:rsidRPr="00E42614">
        <w:rPr>
          <w:rFonts w:ascii="Poppins" w:eastAsia="Times New Roman" w:hAnsi="Poppins" w:cs="Poppins"/>
          <w:b/>
          <w:bCs/>
          <w:lang w:eastAsia="en-GB"/>
        </w:rPr>
        <w:t>eview</w:t>
      </w:r>
    </w:p>
    <w:p w14:paraId="0BEBAAE7" w14:textId="77777777"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Medical history</w:t>
      </w:r>
    </w:p>
    <w:p w14:paraId="6B0828F9" w14:textId="77777777"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Family history</w:t>
      </w:r>
    </w:p>
    <w:p w14:paraId="3318CD1D" w14:textId="77777777"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Vaccination status</w:t>
      </w:r>
    </w:p>
    <w:p w14:paraId="5981950B" w14:textId="0F6DE2E2"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Comorbidity review</w:t>
      </w:r>
    </w:p>
    <w:p w14:paraId="2C78748B" w14:textId="1C545381" w:rsidR="000B2D64" w:rsidRPr="00E42614" w:rsidRDefault="00E3749C" w:rsidP="00974651">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Laboratory </w:t>
      </w:r>
      <w:r w:rsidR="00896AB6" w:rsidRPr="00E42614">
        <w:rPr>
          <w:rFonts w:ascii="Poppins" w:eastAsia="Times New Roman" w:hAnsi="Poppins" w:cs="Poppins"/>
          <w:b/>
          <w:bCs/>
          <w:lang w:eastAsia="en-GB"/>
        </w:rPr>
        <w:t>a</w:t>
      </w:r>
      <w:r w:rsidRPr="00E42614">
        <w:rPr>
          <w:rFonts w:ascii="Poppins" w:eastAsia="Times New Roman" w:hAnsi="Poppins" w:cs="Poppins"/>
          <w:b/>
          <w:bCs/>
          <w:lang w:eastAsia="en-GB"/>
        </w:rPr>
        <w:t>ssessment</w:t>
      </w:r>
      <w:r w:rsidR="002C404C" w:rsidRPr="00E42614">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3C263F">
        <w:rPr>
          <w:rFonts w:ascii="Poppins" w:hAnsi="Poppins" w:cs="Poppins"/>
          <w:spacing w:val="-2"/>
        </w:rPr>
        <w:instrText xml:space="preserve"> ADDIN EN.CITE </w:instrText>
      </w:r>
      <w:r w:rsidR="003C263F">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3C263F">
        <w:rPr>
          <w:rFonts w:ascii="Poppins" w:hAnsi="Poppins" w:cs="Poppins"/>
          <w:spacing w:val="-2"/>
        </w:rPr>
        <w:instrText xml:space="preserve"> ADDIN EN.CITE.DATA </w:instrText>
      </w:r>
      <w:r w:rsidR="003C263F">
        <w:rPr>
          <w:rFonts w:ascii="Poppins" w:hAnsi="Poppins" w:cs="Poppins"/>
          <w:spacing w:val="-2"/>
        </w:rPr>
      </w:r>
      <w:r w:rsidR="003C263F">
        <w:rPr>
          <w:rFonts w:ascii="Poppins" w:hAnsi="Poppins" w:cs="Poppins"/>
          <w:spacing w:val="-2"/>
        </w:rPr>
        <w:fldChar w:fldCharType="end"/>
      </w:r>
      <w:r w:rsidR="002C404C" w:rsidRPr="00E42614">
        <w:rPr>
          <w:rFonts w:ascii="Poppins" w:hAnsi="Poppins" w:cs="Poppins"/>
          <w:spacing w:val="-2"/>
        </w:rPr>
      </w:r>
      <w:r w:rsidR="002C404C" w:rsidRPr="00E42614">
        <w:rPr>
          <w:rFonts w:ascii="Poppins" w:hAnsi="Poppins" w:cs="Poppins"/>
          <w:spacing w:val="-2"/>
        </w:rPr>
        <w:fldChar w:fldCharType="separate"/>
      </w:r>
      <w:r w:rsidR="003C263F" w:rsidRPr="003C263F">
        <w:rPr>
          <w:rFonts w:ascii="Poppins" w:hAnsi="Poppins" w:cs="Poppins"/>
          <w:noProof/>
          <w:spacing w:val="-2"/>
          <w:vertAlign w:val="superscript"/>
        </w:rPr>
        <w:t>(TZIELD® SmPC; Dias, 2026)</w:t>
      </w:r>
      <w:r w:rsidR="002C404C" w:rsidRPr="00E42614">
        <w:rPr>
          <w:rFonts w:ascii="Poppins" w:hAnsi="Poppins" w:cs="Poppins"/>
          <w:spacing w:val="-2"/>
        </w:rPr>
        <w:fldChar w:fldCharType="end"/>
      </w:r>
    </w:p>
    <w:tbl>
      <w:tblPr>
        <w:tblStyle w:val="TableGrid"/>
        <w:tblW w:w="0" w:type="auto"/>
        <w:tblInd w:w="-5"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3124"/>
        <w:gridCol w:w="5511"/>
      </w:tblGrid>
      <w:tr w:rsidR="000B2D64" w:rsidRPr="00974651" w14:paraId="7B15A2B2" w14:textId="77777777" w:rsidTr="00974651">
        <w:tc>
          <w:tcPr>
            <w:tcW w:w="3124" w:type="dxa"/>
            <w:shd w:val="clear" w:color="auto" w:fill="9FD8FF"/>
          </w:tcPr>
          <w:p w14:paraId="00346D15" w14:textId="08CE7A71" w:rsidR="000B2D64" w:rsidRPr="00974651" w:rsidRDefault="000B2D64" w:rsidP="00974651">
            <w:pPr>
              <w:spacing w:before="120" w:after="120"/>
              <w:rPr>
                <w:rFonts w:ascii="Poppins" w:eastAsia="Times New Roman" w:hAnsi="Poppins" w:cs="Poppins"/>
                <w:b/>
                <w:bCs/>
                <w:color w:val="0023C8"/>
                <w:lang w:eastAsia="en-GB"/>
              </w:rPr>
            </w:pPr>
            <w:r w:rsidRPr="00974651">
              <w:rPr>
                <w:rFonts w:ascii="Poppins" w:eastAsia="Times New Roman" w:hAnsi="Poppins" w:cs="Poppins"/>
                <w:b/>
                <w:bCs/>
                <w:color w:val="0023C8"/>
                <w:lang w:eastAsia="en-GB"/>
              </w:rPr>
              <w:t>Test</w:t>
            </w:r>
          </w:p>
        </w:tc>
        <w:tc>
          <w:tcPr>
            <w:tcW w:w="5511" w:type="dxa"/>
            <w:shd w:val="clear" w:color="auto" w:fill="9FD8FF"/>
          </w:tcPr>
          <w:p w14:paraId="764974E0" w14:textId="5994C651" w:rsidR="000B2D64" w:rsidRPr="00832ED1" w:rsidRDefault="000B2D64" w:rsidP="00974651">
            <w:pPr>
              <w:spacing w:before="120" w:after="120"/>
              <w:rPr>
                <w:rFonts w:ascii="Poppins" w:eastAsia="Times New Roman" w:hAnsi="Poppins" w:cs="Poppins"/>
                <w:b/>
                <w:bCs/>
                <w:color w:val="0023C8"/>
                <w:lang w:eastAsia="en-GB"/>
              </w:rPr>
            </w:pPr>
            <w:r w:rsidRPr="00832ED1">
              <w:rPr>
                <w:rFonts w:ascii="Poppins" w:eastAsia="Times New Roman" w:hAnsi="Poppins" w:cs="Poppins"/>
                <w:b/>
                <w:bCs/>
                <w:color w:val="0023C8"/>
                <w:lang w:eastAsia="en-GB"/>
              </w:rPr>
              <w:t>Requirement</w:t>
            </w:r>
          </w:p>
        </w:tc>
      </w:tr>
      <w:tr w:rsidR="000B2D64" w:rsidRPr="00974651" w14:paraId="306B292A" w14:textId="77777777" w:rsidTr="00974651">
        <w:tc>
          <w:tcPr>
            <w:tcW w:w="3124" w:type="dxa"/>
            <w:shd w:val="clear" w:color="auto" w:fill="F2F2F2" w:themeFill="background1" w:themeFillShade="F2"/>
          </w:tcPr>
          <w:p w14:paraId="080F6F7E" w14:textId="38E93A6C"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FBC</w:t>
            </w:r>
          </w:p>
        </w:tc>
        <w:tc>
          <w:tcPr>
            <w:tcW w:w="5511" w:type="dxa"/>
            <w:shd w:val="clear" w:color="auto" w:fill="F2F2F2" w:themeFill="background1" w:themeFillShade="F2"/>
          </w:tcPr>
          <w:p w14:paraId="297CBF86" w14:textId="10CADDBC"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Hb </w:t>
            </w:r>
            <w:r w:rsidR="00AA55DC">
              <w:rPr>
                <w:rFonts w:ascii="Poppins" w:eastAsia="Times New Roman" w:hAnsi="Poppins" w:cs="Poppins"/>
                <w:sz w:val="18"/>
                <w:szCs w:val="18"/>
                <w:lang w:eastAsia="en-GB"/>
              </w:rPr>
              <w:t>&lt;</w:t>
            </w:r>
            <w:r w:rsidRPr="00974651">
              <w:rPr>
                <w:rFonts w:ascii="Poppins" w:eastAsia="Times New Roman" w:hAnsi="Poppins" w:cs="Poppins"/>
                <w:sz w:val="18"/>
                <w:szCs w:val="18"/>
                <w:lang w:eastAsia="en-GB"/>
              </w:rPr>
              <w:t>100g/L</w:t>
            </w:r>
          </w:p>
          <w:p w14:paraId="36508D0F" w14:textId="466D5A6C" w:rsidR="00550F2C" w:rsidRPr="00974651" w:rsidRDefault="00867435"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Lymphocytes </w:t>
            </w:r>
            <w:r w:rsidR="00550F2C" w:rsidRPr="00974651">
              <w:rPr>
                <w:rFonts w:ascii="Poppins" w:eastAsia="Times New Roman" w:hAnsi="Poppins" w:cs="Poppins"/>
                <w:sz w:val="18"/>
                <w:szCs w:val="18"/>
                <w:lang w:eastAsia="en-GB"/>
              </w:rPr>
              <w:t>&lt;1.0 x 10</w:t>
            </w:r>
            <w:r w:rsidR="00550F2C" w:rsidRPr="00974651">
              <w:rPr>
                <w:rFonts w:ascii="Poppins" w:eastAsia="Times New Roman" w:hAnsi="Poppins" w:cs="Poppins"/>
                <w:sz w:val="18"/>
                <w:szCs w:val="18"/>
                <w:vertAlign w:val="superscript"/>
                <w:lang w:eastAsia="en-GB"/>
              </w:rPr>
              <w:t>9</w:t>
            </w:r>
            <w:r w:rsidR="00550F2C" w:rsidRPr="00974651">
              <w:rPr>
                <w:rFonts w:ascii="Poppins" w:eastAsia="Times New Roman" w:hAnsi="Poppins" w:cs="Poppins"/>
                <w:sz w:val="18"/>
                <w:szCs w:val="18"/>
                <w:lang w:eastAsia="en-GB"/>
              </w:rPr>
              <w:t>/L</w:t>
            </w:r>
          </w:p>
          <w:p w14:paraId="6BAEBEA1" w14:textId="2A083C66" w:rsidR="00550F2C" w:rsidRPr="00974651" w:rsidRDefault="00867435"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Platelets </w:t>
            </w:r>
            <w:r w:rsidR="00550F2C" w:rsidRPr="00974651">
              <w:rPr>
                <w:rFonts w:ascii="Poppins" w:eastAsia="Times New Roman" w:hAnsi="Poppins" w:cs="Poppins"/>
                <w:sz w:val="18"/>
                <w:szCs w:val="18"/>
                <w:lang w:eastAsia="en-GB"/>
              </w:rPr>
              <w:t>&lt;150 x 10</w:t>
            </w:r>
            <w:r w:rsidR="00550F2C" w:rsidRPr="00974651">
              <w:rPr>
                <w:rFonts w:ascii="Poppins" w:eastAsia="Times New Roman" w:hAnsi="Poppins" w:cs="Poppins"/>
                <w:sz w:val="18"/>
                <w:szCs w:val="18"/>
                <w:vertAlign w:val="superscript"/>
                <w:lang w:eastAsia="en-GB"/>
              </w:rPr>
              <w:t>9</w:t>
            </w:r>
            <w:r w:rsidR="00550F2C" w:rsidRPr="00974651">
              <w:rPr>
                <w:rFonts w:ascii="Poppins" w:eastAsia="Times New Roman" w:hAnsi="Poppins" w:cs="Poppins"/>
                <w:sz w:val="18"/>
                <w:szCs w:val="18"/>
                <w:lang w:eastAsia="en-GB"/>
              </w:rPr>
              <w:t>/L</w:t>
            </w:r>
          </w:p>
          <w:p w14:paraId="5334ECBE" w14:textId="0D1788C3" w:rsidR="00550F2C" w:rsidRPr="00974651" w:rsidRDefault="00550F2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Absolute neutrophil count less than 1.0 x 10</w:t>
            </w:r>
            <w:r w:rsidRPr="00325539">
              <w:rPr>
                <w:rFonts w:ascii="Poppins" w:eastAsia="Times New Roman" w:hAnsi="Poppins" w:cs="Poppins"/>
                <w:sz w:val="18"/>
                <w:szCs w:val="18"/>
                <w:vertAlign w:val="superscript"/>
                <w:lang w:eastAsia="en-GB"/>
              </w:rPr>
              <w:t>9</w:t>
            </w:r>
            <w:r w:rsidRPr="00974651">
              <w:rPr>
                <w:rFonts w:ascii="Poppins" w:eastAsia="Times New Roman" w:hAnsi="Poppins" w:cs="Poppins"/>
                <w:sz w:val="18"/>
                <w:szCs w:val="18"/>
                <w:lang w:eastAsia="en-GB"/>
              </w:rPr>
              <w:t xml:space="preserve"> neutrophils/L in those of African descent and less than 1.5 x 10</w:t>
            </w:r>
            <w:r w:rsidRPr="00325539">
              <w:rPr>
                <w:rFonts w:ascii="Poppins" w:eastAsia="Times New Roman" w:hAnsi="Poppins" w:cs="Poppins"/>
                <w:sz w:val="18"/>
                <w:szCs w:val="18"/>
                <w:vertAlign w:val="superscript"/>
                <w:lang w:eastAsia="en-GB"/>
              </w:rPr>
              <w:t>9</w:t>
            </w:r>
            <w:r w:rsidRPr="00974651">
              <w:rPr>
                <w:rFonts w:ascii="Poppins" w:eastAsia="Times New Roman" w:hAnsi="Poppins" w:cs="Poppins"/>
                <w:sz w:val="18"/>
                <w:szCs w:val="18"/>
                <w:lang w:eastAsia="en-GB"/>
              </w:rPr>
              <w:t xml:space="preserve"> neutrophils/L in all other groups  </w:t>
            </w:r>
          </w:p>
        </w:tc>
      </w:tr>
      <w:tr w:rsidR="000B2D64" w:rsidRPr="00974651" w14:paraId="0DAA2517" w14:textId="77777777" w:rsidTr="00974651">
        <w:tc>
          <w:tcPr>
            <w:tcW w:w="3124" w:type="dxa"/>
            <w:shd w:val="clear" w:color="auto" w:fill="F2F2F2" w:themeFill="background1" w:themeFillShade="F2"/>
          </w:tcPr>
          <w:p w14:paraId="1A16F891" w14:textId="0E7E7E87"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LFT</w:t>
            </w:r>
          </w:p>
        </w:tc>
        <w:tc>
          <w:tcPr>
            <w:tcW w:w="5511" w:type="dxa"/>
            <w:shd w:val="clear" w:color="auto" w:fill="F2F2F2" w:themeFill="background1" w:themeFillShade="F2"/>
          </w:tcPr>
          <w:p w14:paraId="768D196A" w14:textId="6E11FAF7" w:rsidR="000B2D64" w:rsidRPr="00974651" w:rsidRDefault="002C404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ALT and AST </w:t>
            </w:r>
            <w:r w:rsidR="00F447A1">
              <w:rPr>
                <w:rFonts w:ascii="Poppins" w:eastAsia="Times New Roman" w:hAnsi="Poppins" w:cs="Poppins"/>
                <w:sz w:val="18"/>
                <w:szCs w:val="18"/>
                <w:lang w:eastAsia="en-GB"/>
              </w:rPr>
              <w:t>&gt;</w:t>
            </w:r>
            <w:r w:rsidRPr="00974651">
              <w:rPr>
                <w:rFonts w:ascii="Poppins" w:eastAsia="Times New Roman" w:hAnsi="Poppins" w:cs="Poppins"/>
                <w:sz w:val="18"/>
                <w:szCs w:val="18"/>
                <w:lang w:eastAsia="en-GB"/>
              </w:rPr>
              <w:t>2</w:t>
            </w:r>
            <w:r w:rsidR="00AE75AD" w:rsidRPr="00974651">
              <w:rPr>
                <w:rFonts w:ascii="Poppins" w:eastAsia="Times New Roman" w:hAnsi="Poppins" w:cs="Poppins"/>
                <w:sz w:val="18"/>
                <w:szCs w:val="18"/>
                <w:lang w:eastAsia="en-GB"/>
              </w:rPr>
              <w:t xml:space="preserve"> </w:t>
            </w:r>
            <w:r w:rsidR="00582784" w:rsidRPr="00974651">
              <w:rPr>
                <w:rFonts w:ascii="Poppins" w:eastAsia="Times New Roman" w:hAnsi="Poppins" w:cs="Poppins"/>
                <w:sz w:val="18"/>
                <w:szCs w:val="18"/>
                <w:lang w:eastAsia="en-GB"/>
              </w:rPr>
              <w:t xml:space="preserve">x </w:t>
            </w:r>
            <w:r w:rsidRPr="00974651">
              <w:rPr>
                <w:rFonts w:ascii="Poppins" w:eastAsia="Times New Roman" w:hAnsi="Poppins" w:cs="Poppins"/>
                <w:sz w:val="18"/>
                <w:szCs w:val="18"/>
                <w:lang w:eastAsia="en-GB"/>
              </w:rPr>
              <w:t>ULN</w:t>
            </w:r>
          </w:p>
          <w:p w14:paraId="7E4A9103" w14:textId="7FA77E5F" w:rsidR="002C404C" w:rsidRPr="00974651" w:rsidRDefault="002C404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Bilirubin </w:t>
            </w:r>
            <w:r w:rsidR="00F447A1">
              <w:rPr>
                <w:rFonts w:ascii="Poppins" w:eastAsia="Times New Roman" w:hAnsi="Poppins" w:cs="Poppins"/>
                <w:sz w:val="18"/>
                <w:szCs w:val="18"/>
                <w:lang w:eastAsia="en-GB"/>
              </w:rPr>
              <w:t>&gt;</w:t>
            </w:r>
            <w:r w:rsidRPr="00974651">
              <w:rPr>
                <w:rFonts w:ascii="Poppins" w:eastAsia="Times New Roman" w:hAnsi="Poppins" w:cs="Poppins"/>
                <w:sz w:val="18"/>
                <w:szCs w:val="18"/>
                <w:lang w:eastAsia="en-GB"/>
              </w:rPr>
              <w:t>1.5 ULN</w:t>
            </w:r>
          </w:p>
        </w:tc>
      </w:tr>
      <w:tr w:rsidR="00311EB1" w:rsidRPr="00974651" w14:paraId="2AB27A7E" w14:textId="77777777" w:rsidTr="00974651">
        <w:tc>
          <w:tcPr>
            <w:tcW w:w="3124" w:type="dxa"/>
            <w:shd w:val="clear" w:color="auto" w:fill="F2F2F2" w:themeFill="background1" w:themeFillShade="F2"/>
          </w:tcPr>
          <w:p w14:paraId="01AA4B26" w14:textId="56D2895D" w:rsidR="00311EB1" w:rsidRPr="00974651" w:rsidRDefault="00311EB1" w:rsidP="00974651">
            <w:pPr>
              <w:spacing w:before="120" w:after="120"/>
              <w:rPr>
                <w:rFonts w:ascii="Poppins" w:eastAsia="Times New Roman" w:hAnsi="Poppins" w:cs="Poppins"/>
                <w:bCs/>
                <w:i/>
                <w:iCs/>
                <w:color w:val="808080" w:themeColor="background1" w:themeShade="80"/>
                <w:sz w:val="18"/>
                <w:szCs w:val="18"/>
              </w:rPr>
            </w:pPr>
            <w:r w:rsidRPr="00974651">
              <w:rPr>
                <w:rFonts w:ascii="Poppins" w:eastAsia="Times New Roman" w:hAnsi="Poppins" w:cs="Poppins"/>
                <w:sz w:val="18"/>
                <w:szCs w:val="18"/>
                <w:lang w:eastAsia="en-GB"/>
              </w:rPr>
              <w:t>Pregnancy test (females of childbearing age)</w:t>
            </w:r>
          </w:p>
        </w:tc>
        <w:tc>
          <w:tcPr>
            <w:tcW w:w="5511" w:type="dxa"/>
            <w:shd w:val="clear" w:color="auto" w:fill="F2F2F2" w:themeFill="background1" w:themeFillShade="F2"/>
          </w:tcPr>
          <w:p w14:paraId="7D11B0A4" w14:textId="65EC87CE" w:rsidR="00311EB1" w:rsidRPr="00974651" w:rsidRDefault="00311EB1" w:rsidP="00974651">
            <w:pPr>
              <w:spacing w:before="120" w:after="120"/>
              <w:rPr>
                <w:rFonts w:ascii="Poppins" w:eastAsia="Times New Roman" w:hAnsi="Poppins" w:cs="Poppins"/>
                <w:bCs/>
                <w:i/>
                <w:iCs/>
                <w:color w:val="808080" w:themeColor="background1" w:themeShade="80"/>
                <w:sz w:val="18"/>
                <w:szCs w:val="18"/>
              </w:rPr>
            </w:pPr>
            <w:r w:rsidRPr="00974651">
              <w:rPr>
                <w:rFonts w:ascii="Poppins" w:eastAsia="Times New Roman" w:hAnsi="Poppins" w:cs="Poppins"/>
                <w:sz w:val="18"/>
                <w:szCs w:val="18"/>
                <w:lang w:eastAsia="en-GB"/>
              </w:rPr>
              <w:t>Negative</w:t>
            </w:r>
          </w:p>
        </w:tc>
      </w:tr>
      <w:tr w:rsidR="00311EB1" w:rsidRPr="00974651" w14:paraId="3B25A586" w14:textId="77777777" w:rsidTr="00974651">
        <w:tc>
          <w:tcPr>
            <w:tcW w:w="3124" w:type="dxa"/>
            <w:shd w:val="clear" w:color="auto" w:fill="F2F2F2" w:themeFill="background1" w:themeFillShade="F2"/>
          </w:tcPr>
          <w:p w14:paraId="605BF3CA" w14:textId="3A70C7AF"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TB (ideally Quantiferon Gold)</w:t>
            </w:r>
          </w:p>
        </w:tc>
        <w:tc>
          <w:tcPr>
            <w:tcW w:w="5511" w:type="dxa"/>
            <w:shd w:val="clear" w:color="auto" w:fill="F2F2F2" w:themeFill="background1" w:themeFillShade="F2"/>
          </w:tcPr>
          <w:p w14:paraId="42A47B94" w14:textId="2E6C29B1"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Negative plus no clinical evidence of acute infection</w:t>
            </w:r>
          </w:p>
        </w:tc>
      </w:tr>
      <w:tr w:rsidR="00311EB1" w:rsidRPr="00974651" w14:paraId="7B7CFCC6" w14:textId="77777777" w:rsidTr="00974651">
        <w:tc>
          <w:tcPr>
            <w:tcW w:w="3124" w:type="dxa"/>
            <w:shd w:val="clear" w:color="auto" w:fill="F2F2F2" w:themeFill="background1" w:themeFillShade="F2"/>
          </w:tcPr>
          <w:p w14:paraId="1A9F65A6" w14:textId="424F2892"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HIV, hepatitis B and hepatitis C serology</w:t>
            </w:r>
          </w:p>
        </w:tc>
        <w:tc>
          <w:tcPr>
            <w:tcW w:w="5511" w:type="dxa"/>
            <w:shd w:val="clear" w:color="auto" w:fill="F2F2F2" w:themeFill="background1" w:themeFillShade="F2"/>
          </w:tcPr>
          <w:p w14:paraId="700B45AD" w14:textId="075CCB15"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Negative</w:t>
            </w:r>
          </w:p>
        </w:tc>
      </w:tr>
    </w:tbl>
    <w:p w14:paraId="663BB763" w14:textId="701AF9B8" w:rsidR="00F5106F" w:rsidRPr="00E42614" w:rsidRDefault="00F5106F" w:rsidP="00974651">
      <w:pPr>
        <w:pStyle w:val="Heading1"/>
        <w:spacing w:before="120" w:after="120"/>
        <w:rPr>
          <w:lang w:eastAsia="en-GB"/>
        </w:rPr>
      </w:pPr>
      <w:bookmarkStart w:id="11" w:name="_Shared_decision-making"/>
      <w:bookmarkStart w:id="12" w:name="_Toc237332035"/>
      <w:bookmarkEnd w:id="11"/>
      <w:r w:rsidRPr="00E42614">
        <w:rPr>
          <w:lang w:eastAsia="en-GB"/>
        </w:rPr>
        <w:lastRenderedPageBreak/>
        <w:t xml:space="preserve">Shared </w:t>
      </w:r>
      <w:r w:rsidR="00896AB6" w:rsidRPr="00E42614">
        <w:rPr>
          <w:lang w:eastAsia="en-GB"/>
        </w:rPr>
        <w:t>d</w:t>
      </w:r>
      <w:r w:rsidRPr="00E42614">
        <w:rPr>
          <w:lang w:eastAsia="en-GB"/>
        </w:rPr>
        <w:t>ecision-</w:t>
      </w:r>
      <w:r w:rsidR="00896AB6" w:rsidRPr="00E42614">
        <w:rPr>
          <w:lang w:eastAsia="en-GB"/>
        </w:rPr>
        <w:t>m</w:t>
      </w:r>
      <w:r w:rsidRPr="00E42614">
        <w:rPr>
          <w:lang w:eastAsia="en-GB"/>
        </w:rPr>
        <w:t>aking</w:t>
      </w:r>
      <w:bookmarkEnd w:id="12"/>
    </w:p>
    <w:p w14:paraId="523955F3" w14:textId="02490258" w:rsidR="00A93403" w:rsidRPr="00E42614" w:rsidRDefault="00224868"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The clinician </w:t>
      </w:r>
      <w:r w:rsidR="00BD4C03" w:rsidRPr="00E42614">
        <w:rPr>
          <w:rFonts w:ascii="Poppins" w:eastAsia="Times New Roman" w:hAnsi="Poppins" w:cs="Poppins"/>
          <w:sz w:val="21"/>
          <w:szCs w:val="21"/>
          <w:lang w:eastAsia="en-GB"/>
        </w:rPr>
        <w:t>must discuss with the patient</w:t>
      </w:r>
      <w:r w:rsidR="00A93403" w:rsidRPr="00E42614">
        <w:rPr>
          <w:rFonts w:ascii="Poppins" w:eastAsia="Times New Roman" w:hAnsi="Poppins" w:cs="Poppins"/>
          <w:sz w:val="21"/>
          <w:szCs w:val="21"/>
          <w:lang w:eastAsia="en-GB"/>
        </w:rPr>
        <w:t>/carer</w:t>
      </w:r>
      <w:r w:rsidR="00BD4C03" w:rsidRPr="00E42614">
        <w:rPr>
          <w:rFonts w:ascii="Poppins" w:eastAsia="Times New Roman" w:hAnsi="Poppins" w:cs="Poppins"/>
          <w:sz w:val="21"/>
          <w:szCs w:val="21"/>
          <w:lang w:eastAsia="en-GB"/>
        </w:rPr>
        <w:t xml:space="preserve"> their:</w:t>
      </w:r>
    </w:p>
    <w:p w14:paraId="1FB77487" w14:textId="77777777" w:rsidR="00BD4C03" w:rsidRPr="0032766D" w:rsidRDefault="00BD4C03" w:rsidP="0032766D">
      <w:pPr>
        <w:pStyle w:val="ListParagraph"/>
        <w:numPr>
          <w:ilvl w:val="0"/>
          <w:numId w:val="38"/>
        </w:numPr>
        <w:spacing w:before="120" w:after="120" w:line="240" w:lineRule="auto"/>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Understanding of diagnosis</w:t>
      </w:r>
    </w:p>
    <w:p w14:paraId="5BFE2A58" w14:textId="77777777" w:rsidR="00BD4C03" w:rsidRPr="0032766D" w:rsidRDefault="00BD4C03" w:rsidP="0032766D">
      <w:pPr>
        <w:pStyle w:val="ListParagraph"/>
        <w:numPr>
          <w:ilvl w:val="0"/>
          <w:numId w:val="38"/>
        </w:numPr>
        <w:spacing w:before="120" w:after="120" w:line="240" w:lineRule="auto"/>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Expectations of treatment</w:t>
      </w:r>
    </w:p>
    <w:p w14:paraId="18C2ADDC" w14:textId="3A4B1DEA" w:rsidR="00A93403" w:rsidRPr="0032766D" w:rsidRDefault="00E313C9" w:rsidP="0032766D">
      <w:pPr>
        <w:pStyle w:val="ListParagraph"/>
        <w:numPr>
          <w:ilvl w:val="0"/>
          <w:numId w:val="38"/>
        </w:numPr>
        <w:spacing w:before="120" w:after="120" w:line="240" w:lineRule="auto"/>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Intravenous (</w:t>
      </w:r>
      <w:r w:rsidR="002341B8" w:rsidRPr="0032766D">
        <w:rPr>
          <w:rFonts w:ascii="Poppins" w:eastAsia="Times New Roman" w:hAnsi="Poppins" w:cs="Poppins"/>
          <w:bCs/>
          <w:i/>
          <w:iCs/>
          <w:color w:val="808080" w:themeColor="background1" w:themeShade="80"/>
          <w:sz w:val="18"/>
          <w:szCs w:val="18"/>
        </w:rPr>
        <w:t>IV</w:t>
      </w:r>
      <w:r w:rsidRPr="0032766D">
        <w:rPr>
          <w:rFonts w:ascii="Poppins" w:eastAsia="Times New Roman" w:hAnsi="Poppins" w:cs="Poppins"/>
          <w:bCs/>
          <w:i/>
          <w:iCs/>
          <w:color w:val="808080" w:themeColor="background1" w:themeShade="80"/>
          <w:sz w:val="18"/>
          <w:szCs w:val="18"/>
        </w:rPr>
        <w:t>)</w:t>
      </w:r>
      <w:r w:rsidR="002341B8" w:rsidRPr="0032766D">
        <w:rPr>
          <w:rFonts w:ascii="Poppins" w:eastAsia="Times New Roman" w:hAnsi="Poppins" w:cs="Poppins"/>
          <w:bCs/>
          <w:i/>
          <w:iCs/>
          <w:color w:val="808080" w:themeColor="background1" w:themeShade="80"/>
          <w:sz w:val="18"/>
          <w:szCs w:val="18"/>
        </w:rPr>
        <w:t xml:space="preserve"> access choices</w:t>
      </w:r>
    </w:p>
    <w:p w14:paraId="1D43B5B2" w14:textId="45EBA889" w:rsidR="00A93403"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The clinician must explain:</w:t>
      </w:r>
    </w:p>
    <w:p w14:paraId="780066AA" w14:textId="77777777" w:rsidR="00F5106F" w:rsidRPr="00E42614" w:rsidRDefault="00F5106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Benefits</w:t>
      </w:r>
    </w:p>
    <w:p w14:paraId="46622808" w14:textId="23E6A0E6" w:rsidR="001542AB"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Clinical evidence demonstrates </w:t>
      </w:r>
      <w:r w:rsidR="00F96AE8" w:rsidRPr="00E42614">
        <w:rPr>
          <w:rFonts w:ascii="Poppins" w:eastAsia="Times New Roman" w:hAnsi="Poppins" w:cs="Poppins"/>
          <w:sz w:val="21"/>
          <w:szCs w:val="21"/>
          <w:lang w:eastAsia="en-GB"/>
        </w:rPr>
        <w:t>t</w:t>
      </w:r>
      <w:r w:rsidRPr="00E42614">
        <w:rPr>
          <w:rFonts w:ascii="Poppins" w:eastAsia="Times New Roman" w:hAnsi="Poppins" w:cs="Poppins"/>
          <w:sz w:val="21"/>
          <w:szCs w:val="21"/>
          <w:lang w:eastAsia="en-GB"/>
        </w:rPr>
        <w:t>eplizumab delays progression to Stage 3 diabetes by</w:t>
      </w:r>
      <w:r w:rsidR="000831D3" w:rsidRPr="00E42614">
        <w:rPr>
          <w:rFonts w:ascii="Poppins" w:eastAsia="Times New Roman" w:hAnsi="Poppins" w:cs="Poppins"/>
          <w:sz w:val="21"/>
          <w:szCs w:val="21"/>
          <w:lang w:eastAsia="en-GB"/>
        </w:rPr>
        <w:t xml:space="preserve"> an average of nearly</w:t>
      </w:r>
      <w:r w:rsidRPr="00E42614">
        <w:rPr>
          <w:rFonts w:ascii="Poppins" w:eastAsia="Times New Roman" w:hAnsi="Poppins" w:cs="Poppins"/>
          <w:sz w:val="21"/>
          <w:szCs w:val="21"/>
          <w:lang w:eastAsia="en-GB"/>
        </w:rPr>
        <w:t xml:space="preserve"> </w:t>
      </w:r>
      <w:r w:rsidR="00BE11D5" w:rsidRPr="00E42614">
        <w:rPr>
          <w:rFonts w:ascii="Poppins" w:eastAsia="Times New Roman" w:hAnsi="Poppins" w:cs="Poppins"/>
          <w:sz w:val="21"/>
          <w:szCs w:val="21"/>
          <w:lang w:eastAsia="en-GB"/>
        </w:rPr>
        <w:t>3</w:t>
      </w:r>
      <w:r w:rsidRPr="00E42614">
        <w:rPr>
          <w:rFonts w:ascii="Poppins" w:eastAsia="Times New Roman" w:hAnsi="Poppins" w:cs="Poppins"/>
          <w:sz w:val="21"/>
          <w:szCs w:val="21"/>
          <w:lang w:eastAsia="en-GB"/>
        </w:rPr>
        <w:t xml:space="preserve"> years.</w:t>
      </w:r>
      <w:r w:rsidR="00550F2C">
        <w:rPr>
          <w:rFonts w:ascii="Poppins" w:eastAsia="Times New Roman" w:hAnsi="Poppins" w:cs="Poppins"/>
          <w:sz w:val="21"/>
          <w:szCs w:val="21"/>
          <w:lang w:eastAsia="en-GB"/>
        </w:rPr>
        <w:fldChar w:fldCharType="begin">
          <w:fldData xml:space="preserve">PEVuZE5vdGU+PENpdGU+PFJlY051bT4yOTMwMzwvUmVjTnVtPjxEaXNwbGF5VGV4dD48c3R5bGUg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dGU+PEF1dGhvcj5UWklFTETCriBTbVBDPC9BdXRob3I+PFJlY051bT4yOTQzMjwvUmVjTnVtPjxy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</w:fldData>
        </w:fldChar>
      </w:r>
      <w:r w:rsidR="0038137D">
        <w:rPr>
          <w:rFonts w:ascii="Poppins" w:eastAsia="Times New Roman" w:hAnsi="Poppins" w:cs="Poppins"/>
          <w:sz w:val="21"/>
          <w:szCs w:val="21"/>
          <w:lang w:eastAsia="en-GB"/>
        </w:rPr>
        <w:instrText xml:space="preserve"> ADDIN EN.CITE </w:instrText>
      </w:r>
      <w:r w:rsidR="0038137D">
        <w:rPr>
          <w:rFonts w:ascii="Poppins" w:eastAsia="Times New Roman" w:hAnsi="Poppins" w:cs="Poppins"/>
          <w:sz w:val="21"/>
          <w:szCs w:val="21"/>
          <w:lang w:eastAsia="en-GB"/>
        </w:rPr>
        <w:fldChar w:fldCharType="begin">
          <w:fldData xml:space="preserve">PEVuZE5vdGU+PENpdGU+PFJlY051bT4yOTMwMzwvUmVjTnVtPjxEaXNwbGF5VGV4dD48c3R5bGUg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dGU+PEF1dGhvcj5UWklFTETCriBTbVBDPC9BdXRob3I+PFJlY051bT4yOTQzMjwvUmVjTnVtPjxy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</w:fldData>
        </w:fldChar>
      </w:r>
      <w:r w:rsidR="0038137D">
        <w:rPr>
          <w:rFonts w:ascii="Poppins" w:eastAsia="Times New Roman" w:hAnsi="Poppins" w:cs="Poppins"/>
          <w:sz w:val="21"/>
          <w:szCs w:val="21"/>
          <w:lang w:eastAsia="en-GB"/>
        </w:rPr>
        <w:instrText xml:space="preserve"> ADDIN EN.CITE.DATA </w:instrText>
      </w:r>
      <w:r w:rsidR="0038137D">
        <w:rPr>
          <w:rFonts w:ascii="Poppins" w:eastAsia="Times New Roman" w:hAnsi="Poppins" w:cs="Poppins"/>
          <w:sz w:val="21"/>
          <w:szCs w:val="21"/>
          <w:lang w:eastAsia="en-GB"/>
        </w:rPr>
      </w:r>
      <w:r w:rsidR="0038137D">
        <w:rPr>
          <w:rFonts w:ascii="Poppins" w:eastAsia="Times New Roman" w:hAnsi="Poppins" w:cs="Poppins"/>
          <w:sz w:val="21"/>
          <w:szCs w:val="21"/>
          <w:lang w:eastAsia="en-GB"/>
        </w:rPr>
        <w:fldChar w:fldCharType="end"/>
      </w:r>
      <w:r w:rsidR="00550F2C">
        <w:rPr>
          <w:rFonts w:ascii="Poppins" w:eastAsia="Times New Roman" w:hAnsi="Poppins" w:cs="Poppins"/>
          <w:sz w:val="21"/>
          <w:szCs w:val="21"/>
          <w:lang w:eastAsia="en-GB"/>
        </w:rPr>
      </w:r>
      <w:r w:rsidR="00550F2C">
        <w:rPr>
          <w:rFonts w:ascii="Poppins" w:eastAsia="Times New Roman" w:hAnsi="Poppins" w:cs="Poppins"/>
          <w:sz w:val="21"/>
          <w:szCs w:val="21"/>
          <w:lang w:eastAsia="en-GB"/>
        </w:rPr>
        <w:fldChar w:fldCharType="separate"/>
      </w:r>
      <w:r w:rsidR="00550F2C" w:rsidRPr="00550F2C">
        <w:rPr>
          <w:rFonts w:ascii="Poppins" w:eastAsia="Times New Roman" w:hAnsi="Poppins" w:cs="Poppins"/>
          <w:noProof/>
          <w:sz w:val="21"/>
          <w:szCs w:val="21"/>
          <w:vertAlign w:val="superscript"/>
          <w:lang w:eastAsia="en-GB"/>
        </w:rPr>
        <w:t>(TZIELD® SmPC; NICE, 2026b)</w:t>
      </w:r>
      <w:r w:rsidR="00550F2C">
        <w:rPr>
          <w:rFonts w:ascii="Poppins" w:eastAsia="Times New Roman" w:hAnsi="Poppins" w:cs="Poppins"/>
          <w:sz w:val="21"/>
          <w:szCs w:val="21"/>
          <w:lang w:eastAsia="en-GB"/>
        </w:rPr>
        <w:fldChar w:fldCharType="end"/>
      </w:r>
    </w:p>
    <w:p w14:paraId="494A365C" w14:textId="3048F7E8" w:rsidR="00F5106F" w:rsidRPr="00E42614" w:rsidRDefault="00F5106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Limitations</w:t>
      </w:r>
    </w:p>
    <w:p w14:paraId="3F1454F8" w14:textId="77777777" w:rsidR="00F5106F"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Patients should understand:</w:t>
      </w:r>
    </w:p>
    <w:p w14:paraId="0A0C7701" w14:textId="77777777" w:rsidR="00F5106F" w:rsidRPr="00E42614" w:rsidRDefault="00F5106F" w:rsidP="00D87B2C">
      <w:pPr>
        <w:numPr>
          <w:ilvl w:val="0"/>
          <w:numId w:val="15"/>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Teplizumab is not a cure</w:t>
      </w:r>
    </w:p>
    <w:p w14:paraId="1B3E0ABA" w14:textId="7823654E" w:rsidR="00F5106F" w:rsidRPr="00E42614" w:rsidRDefault="00F5106F" w:rsidP="00D87B2C">
      <w:pPr>
        <w:numPr>
          <w:ilvl w:val="0"/>
          <w:numId w:val="15"/>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Progression </w:t>
      </w:r>
      <w:r w:rsidR="00AE75AD" w:rsidRPr="00E42614">
        <w:rPr>
          <w:rFonts w:ascii="Poppins" w:eastAsia="Times New Roman" w:hAnsi="Poppins" w:cs="Poppins"/>
          <w:sz w:val="21"/>
          <w:szCs w:val="21"/>
          <w:lang w:eastAsia="en-GB"/>
        </w:rPr>
        <w:t xml:space="preserve">to Stage 3 T1D </w:t>
      </w:r>
      <w:r w:rsidRPr="00E42614">
        <w:rPr>
          <w:rFonts w:ascii="Poppins" w:eastAsia="Times New Roman" w:hAnsi="Poppins" w:cs="Poppins"/>
          <w:sz w:val="21"/>
          <w:szCs w:val="21"/>
          <w:lang w:eastAsia="en-GB"/>
        </w:rPr>
        <w:t>may still occur</w:t>
      </w:r>
      <w:r w:rsidR="00550F2C" w:rsidRPr="00E42614">
        <w:rPr>
          <w:rFonts w:ascii="Poppins" w:hAnsi="Poppins" w:cs="Poppins"/>
          <w:spacing w:val="-2"/>
        </w:rPr>
        <w:fldChar w:fldCharType="begin"/>
      </w:r>
      <w:r w:rsidR="00550F2C">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550F2C" w:rsidRPr="00E42614">
        <w:rPr>
          <w:rFonts w:ascii="Poppins" w:hAnsi="Poppins" w:cs="Poppins"/>
          <w:spacing w:val="-2"/>
        </w:rPr>
        <w:fldChar w:fldCharType="separate"/>
      </w:r>
      <w:r w:rsidR="00550F2C" w:rsidRPr="00E42614">
        <w:rPr>
          <w:rFonts w:ascii="Poppins" w:hAnsi="Poppins" w:cs="Poppins"/>
          <w:noProof/>
          <w:spacing w:val="-2"/>
          <w:vertAlign w:val="superscript"/>
        </w:rPr>
        <w:t>(TZIELD® SmPC)</w:t>
      </w:r>
      <w:r w:rsidR="00550F2C" w:rsidRPr="00E42614">
        <w:rPr>
          <w:rFonts w:ascii="Poppins" w:hAnsi="Poppins" w:cs="Poppins"/>
          <w:spacing w:val="-2"/>
        </w:rPr>
        <w:fldChar w:fldCharType="end"/>
      </w:r>
    </w:p>
    <w:p w14:paraId="1F9BE8EF" w14:textId="1A20AD26" w:rsidR="00F5106F" w:rsidRDefault="00F5106F" w:rsidP="00D87B2C">
      <w:pPr>
        <w:numPr>
          <w:ilvl w:val="0"/>
          <w:numId w:val="15"/>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Response varies between individuals</w:t>
      </w:r>
    </w:p>
    <w:p w14:paraId="78D95893" w14:textId="75824100" w:rsidR="00867435" w:rsidRPr="00E42614" w:rsidRDefault="00867435" w:rsidP="00D87B2C">
      <w:pPr>
        <w:numPr>
          <w:ilvl w:val="0"/>
          <w:numId w:val="15"/>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Treatment is a single 14-day course of daily IV infusions</w:t>
      </w:r>
      <w:r w:rsidRPr="00E42614">
        <w:rPr>
          <w:rFonts w:ascii="Poppins" w:hAnsi="Poppins" w:cs="Poppins"/>
          <w:spacing w:val="-2"/>
        </w:rPr>
        <w:fldChar w:fldCharType="begin"/>
      </w:r>
      <w:r>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Pr="00E42614">
        <w:rPr>
          <w:rFonts w:ascii="Poppins" w:hAnsi="Poppins" w:cs="Poppins"/>
          <w:noProof/>
          <w:spacing w:val="-2"/>
          <w:vertAlign w:val="superscript"/>
        </w:rPr>
        <w:t>(TZIELD® SmPC)</w:t>
      </w:r>
      <w:r w:rsidRPr="00E42614">
        <w:rPr>
          <w:rFonts w:ascii="Poppins" w:hAnsi="Poppins" w:cs="Poppins"/>
          <w:spacing w:val="-2"/>
        </w:rPr>
        <w:fldChar w:fldCharType="end"/>
      </w:r>
    </w:p>
    <w:p w14:paraId="273CCD72" w14:textId="0B358780" w:rsidR="00F5106F" w:rsidRPr="00E42614" w:rsidRDefault="00F5106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Risks</w:t>
      </w:r>
    </w:p>
    <w:p w14:paraId="77FCB4A6" w14:textId="7368A8C5" w:rsidR="007A0552" w:rsidRPr="00E42614" w:rsidRDefault="00963FEB" w:rsidP="00974651">
      <w:pPr>
        <w:spacing w:before="120" w:after="120" w:line="240" w:lineRule="auto"/>
        <w:rPr>
          <w:rFonts w:ascii="Poppins" w:hAnsi="Poppins" w:cs="Poppins"/>
          <w:b/>
          <w:spacing w:val="-2"/>
        </w:rPr>
      </w:pPr>
      <w:r w:rsidRPr="00E42614">
        <w:rPr>
          <w:rFonts w:ascii="Poppins" w:eastAsia="Times New Roman" w:hAnsi="Poppins" w:cs="Poppins"/>
          <w:sz w:val="21"/>
          <w:szCs w:val="21"/>
          <w:lang w:eastAsia="en-GB"/>
        </w:rPr>
        <w:t>Clinicians should d</w:t>
      </w:r>
      <w:r w:rsidR="00F5106F" w:rsidRPr="00E42614">
        <w:rPr>
          <w:rFonts w:ascii="Poppins" w:eastAsia="Times New Roman" w:hAnsi="Poppins" w:cs="Poppins"/>
          <w:sz w:val="21"/>
          <w:szCs w:val="21"/>
          <w:lang w:eastAsia="en-GB"/>
        </w:rPr>
        <w:t>iscuss</w:t>
      </w:r>
      <w:r w:rsidR="007A0552" w:rsidRPr="00E42614">
        <w:rPr>
          <w:rFonts w:ascii="Poppins" w:eastAsia="Times New Roman" w:hAnsi="Poppins" w:cs="Poppins"/>
          <w:sz w:val="21"/>
          <w:szCs w:val="21"/>
          <w:lang w:eastAsia="en-GB"/>
        </w:rPr>
        <w:t xml:space="preserve"> the most frequently reported adverse reactions</w:t>
      </w:r>
      <w:r w:rsidR="009418AD">
        <w:rPr>
          <w:rFonts w:ascii="Poppins" w:eastAsia="Times New Roman" w:hAnsi="Poppins" w:cs="Poppins"/>
          <w:sz w:val="21"/>
          <w:szCs w:val="21"/>
          <w:lang w:eastAsia="en-GB"/>
        </w:rPr>
        <w:t xml:space="preserve"> </w:t>
      </w:r>
      <w:r w:rsidR="006331D1">
        <w:rPr>
          <w:rFonts w:ascii="Poppins" w:eastAsia="Times New Roman" w:hAnsi="Poppins" w:cs="Poppins"/>
          <w:sz w:val="21"/>
          <w:szCs w:val="21"/>
          <w:lang w:eastAsia="en-GB"/>
        </w:rPr>
        <w:t>in patients treated with teplizumab</w:t>
      </w:r>
      <w:r w:rsidR="00F5106F" w:rsidRPr="00E42614">
        <w:rPr>
          <w:rFonts w:ascii="Poppins" w:eastAsia="Times New Roman" w:hAnsi="Poppins" w:cs="Poppins"/>
          <w:sz w:val="21"/>
          <w:szCs w:val="21"/>
          <w:lang w:eastAsia="en-GB"/>
        </w:rPr>
        <w:t>:</w:t>
      </w:r>
      <w:r w:rsidR="007A0552" w:rsidRPr="00E42614">
        <w:rPr>
          <w:rFonts w:ascii="Poppins" w:hAnsi="Poppins" w:cs="Poppins"/>
          <w:spacing w:val="-2"/>
        </w:rPr>
        <w:t xml:space="preserve"> </w:t>
      </w:r>
      <w:r w:rsidR="007C4B83"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007C4B83" w:rsidRPr="00E42614">
        <w:rPr>
          <w:rFonts w:ascii="Poppins" w:hAnsi="Poppins" w:cs="Poppins"/>
          <w:spacing w:val="-2"/>
        </w:rPr>
        <w:fldChar w:fldCharType="separate"/>
      </w:r>
      <w:r w:rsidR="007C4B83" w:rsidRPr="00E42614">
        <w:rPr>
          <w:rFonts w:ascii="Poppins" w:hAnsi="Poppins" w:cs="Poppins"/>
          <w:spacing w:val="-2"/>
        </w:rPr>
        <w:fldChar w:fldCharType="end"/>
      </w:r>
    </w:p>
    <w:p w14:paraId="07F4406A" w14:textId="5207D688" w:rsidR="00F5106F" w:rsidRPr="00E42614" w:rsidRDefault="00F5106F"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Rash</w:t>
      </w:r>
      <w:r w:rsidR="005D33DE" w:rsidRPr="00E42614">
        <w:rPr>
          <w:rFonts w:ascii="Poppins" w:eastAsia="Times New Roman" w:hAnsi="Poppins" w:cs="Poppins"/>
          <w:sz w:val="21"/>
          <w:szCs w:val="21"/>
          <w:lang w:eastAsia="en-GB"/>
        </w:rPr>
        <w:t xml:space="preserve"> – seen in approximately 1</w:t>
      </w:r>
      <w:r w:rsidR="00E314A1" w:rsidRPr="00E42614">
        <w:rPr>
          <w:rFonts w:ascii="Poppins" w:eastAsia="Times New Roman" w:hAnsi="Poppins" w:cs="Poppins"/>
          <w:sz w:val="21"/>
          <w:szCs w:val="21"/>
          <w:lang w:eastAsia="en-GB"/>
        </w:rPr>
        <w:t xml:space="preserve"> </w:t>
      </w:r>
      <w:r w:rsidR="00D81D37" w:rsidRPr="00E42614">
        <w:rPr>
          <w:rFonts w:ascii="Poppins" w:eastAsia="Times New Roman" w:hAnsi="Poppins" w:cs="Poppins"/>
          <w:sz w:val="21"/>
          <w:szCs w:val="21"/>
          <w:lang w:eastAsia="en-GB"/>
        </w:rPr>
        <w:t xml:space="preserve">in </w:t>
      </w:r>
      <w:r w:rsidR="005D33DE" w:rsidRPr="00E42614">
        <w:rPr>
          <w:rFonts w:ascii="Poppins" w:eastAsia="Times New Roman" w:hAnsi="Poppins" w:cs="Poppins"/>
          <w:sz w:val="21"/>
          <w:szCs w:val="21"/>
          <w:lang w:eastAsia="en-GB"/>
        </w:rPr>
        <w:t>3 people</w:t>
      </w:r>
      <w:r w:rsidR="00E314A1" w:rsidRPr="00E42614">
        <w:rPr>
          <w:rFonts w:ascii="Poppins" w:eastAsia="Times New Roman" w:hAnsi="Poppins" w:cs="Poppins"/>
          <w:sz w:val="21"/>
          <w:szCs w:val="21"/>
          <w:lang w:eastAsia="en-GB"/>
        </w:rPr>
        <w:t xml:space="preserve"> (35%)</w:t>
      </w:r>
      <w:r w:rsidR="00E314A1"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E314A1" w:rsidRPr="00E42614">
        <w:rPr>
          <w:rFonts w:ascii="Poppins" w:hAnsi="Poppins" w:cs="Poppins"/>
          <w:spacing w:val="-2"/>
        </w:rPr>
        <w:fldChar w:fldCharType="separate"/>
      </w:r>
      <w:r w:rsidR="00E314A1" w:rsidRPr="00E42614">
        <w:rPr>
          <w:rFonts w:ascii="Poppins" w:hAnsi="Poppins" w:cs="Poppins"/>
          <w:noProof/>
          <w:spacing w:val="-2"/>
          <w:vertAlign w:val="superscript"/>
        </w:rPr>
        <w:t>(TZIELD® SmPC)</w:t>
      </w:r>
      <w:r w:rsidR="00E314A1" w:rsidRPr="00E42614">
        <w:rPr>
          <w:rFonts w:ascii="Poppins" w:hAnsi="Poppins" w:cs="Poppins"/>
          <w:spacing w:val="-2"/>
        </w:rPr>
        <w:fldChar w:fldCharType="end"/>
      </w:r>
    </w:p>
    <w:p w14:paraId="4057DBAE" w14:textId="229E9194" w:rsidR="00F5106F" w:rsidRPr="00E42614" w:rsidRDefault="00F5106F"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Headache</w:t>
      </w:r>
      <w:r w:rsidR="00D81D37" w:rsidRPr="00E42614">
        <w:rPr>
          <w:rFonts w:ascii="Poppins" w:eastAsia="Times New Roman" w:hAnsi="Poppins" w:cs="Poppins"/>
          <w:sz w:val="21"/>
          <w:szCs w:val="21"/>
          <w:lang w:eastAsia="en-GB"/>
        </w:rPr>
        <w:t xml:space="preserve"> – seen in approximately 1 in 4 people</w:t>
      </w:r>
      <w:r w:rsidR="00E314A1" w:rsidRPr="00E42614">
        <w:rPr>
          <w:rFonts w:ascii="Poppins" w:eastAsia="Times New Roman" w:hAnsi="Poppins" w:cs="Poppins"/>
          <w:sz w:val="21"/>
          <w:szCs w:val="21"/>
          <w:lang w:eastAsia="en-GB"/>
        </w:rPr>
        <w:t xml:space="preserve"> (27.2%)</w:t>
      </w:r>
      <w:r w:rsidR="00E314A1"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E314A1" w:rsidRPr="00E42614">
        <w:rPr>
          <w:rFonts w:ascii="Poppins" w:eastAsia="Times New Roman" w:hAnsi="Poppins" w:cs="Poppins"/>
          <w:sz w:val="21"/>
          <w:szCs w:val="21"/>
          <w:lang w:eastAsia="en-GB"/>
        </w:rPr>
      </w:r>
      <w:r w:rsidR="00E314A1" w:rsidRPr="00E42614">
        <w:rPr>
          <w:rFonts w:ascii="Poppins" w:eastAsia="Times New Roman" w:hAnsi="Poppins" w:cs="Poppins"/>
          <w:sz w:val="21"/>
          <w:szCs w:val="21"/>
          <w:lang w:eastAsia="en-GB"/>
        </w:rPr>
        <w:fldChar w:fldCharType="separate"/>
      </w:r>
      <w:r w:rsidR="00E314A1" w:rsidRPr="00E42614">
        <w:rPr>
          <w:rFonts w:ascii="Poppins" w:eastAsia="Times New Roman" w:hAnsi="Poppins" w:cs="Poppins"/>
          <w:noProof/>
          <w:sz w:val="21"/>
          <w:szCs w:val="21"/>
          <w:vertAlign w:val="superscript"/>
          <w:lang w:eastAsia="en-GB"/>
        </w:rPr>
        <w:t>(Dias, 2026; Herold, 2023)</w:t>
      </w:r>
      <w:r w:rsidR="00E314A1" w:rsidRPr="00E42614">
        <w:rPr>
          <w:rFonts w:ascii="Poppins" w:eastAsia="Times New Roman" w:hAnsi="Poppins" w:cs="Poppins"/>
          <w:sz w:val="21"/>
          <w:szCs w:val="21"/>
          <w:lang w:eastAsia="en-GB"/>
        </w:rPr>
        <w:fldChar w:fldCharType="end"/>
      </w:r>
    </w:p>
    <w:p w14:paraId="075E40EC" w14:textId="1FEA6EAF" w:rsidR="00576F68" w:rsidRPr="00E42614" w:rsidRDefault="00576F68"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Nausea – seen in approximately 1 in 5 people</w:t>
      </w:r>
      <w:r w:rsidR="00846474" w:rsidRPr="00E42614">
        <w:rPr>
          <w:rFonts w:ascii="Poppins" w:eastAsia="Times New Roman" w:hAnsi="Poppins" w:cs="Poppins"/>
          <w:sz w:val="21"/>
          <w:szCs w:val="21"/>
          <w:lang w:eastAsia="en-GB"/>
        </w:rPr>
        <w:t xml:space="preserve"> (19.6%)</w:t>
      </w:r>
      <w:r w:rsidRPr="00E42614">
        <w:rPr>
          <w:rFonts w:ascii="Poppins" w:eastAsia="Times New Roman" w:hAnsi="Poppins" w:cs="Poppins"/>
          <w:sz w:val="21"/>
          <w:szCs w:val="21"/>
          <w:lang w:eastAsia="en-GB"/>
        </w:rPr>
        <w:t>.</w:t>
      </w:r>
      <w:r w:rsidR="00846474"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846474" w:rsidRPr="00E42614">
        <w:rPr>
          <w:rFonts w:ascii="Poppins" w:eastAsia="Times New Roman" w:hAnsi="Poppins" w:cs="Poppins"/>
          <w:sz w:val="21"/>
          <w:szCs w:val="21"/>
          <w:lang w:eastAsia="en-GB"/>
        </w:rPr>
      </w:r>
      <w:r w:rsidR="00846474" w:rsidRPr="00E42614">
        <w:rPr>
          <w:rFonts w:ascii="Poppins" w:eastAsia="Times New Roman" w:hAnsi="Poppins" w:cs="Poppins"/>
          <w:sz w:val="21"/>
          <w:szCs w:val="21"/>
          <w:lang w:eastAsia="en-GB"/>
        </w:rPr>
        <w:fldChar w:fldCharType="separate"/>
      </w:r>
      <w:r w:rsidR="00846474" w:rsidRPr="00E42614">
        <w:rPr>
          <w:rFonts w:ascii="Poppins" w:eastAsia="Times New Roman" w:hAnsi="Poppins" w:cs="Poppins"/>
          <w:noProof/>
          <w:sz w:val="21"/>
          <w:szCs w:val="21"/>
          <w:vertAlign w:val="superscript"/>
          <w:lang w:eastAsia="en-GB"/>
        </w:rPr>
        <w:t>(Dias, 2026; Herold, 2023)</w:t>
      </w:r>
      <w:r w:rsidR="00846474" w:rsidRPr="00E42614">
        <w:rPr>
          <w:rFonts w:ascii="Poppins" w:eastAsia="Times New Roman" w:hAnsi="Poppins" w:cs="Poppins"/>
          <w:sz w:val="21"/>
          <w:szCs w:val="21"/>
          <w:lang w:eastAsia="en-GB"/>
        </w:rPr>
        <w:fldChar w:fldCharType="end"/>
      </w:r>
    </w:p>
    <w:p w14:paraId="4A8572A5" w14:textId="28CF22FD" w:rsidR="00846474" w:rsidRPr="00E42614" w:rsidRDefault="00487F85"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Fatigue seen</w:t>
      </w:r>
      <w:r w:rsidR="00846474" w:rsidRPr="00E42614">
        <w:rPr>
          <w:rFonts w:ascii="Poppins" w:eastAsia="Times New Roman" w:hAnsi="Poppins" w:cs="Poppins"/>
          <w:sz w:val="21"/>
          <w:szCs w:val="21"/>
          <w:lang w:eastAsia="en-GB"/>
        </w:rPr>
        <w:t xml:space="preserve"> in approximately 1 in 10 people (10.1%) </w:t>
      </w:r>
      <w:r w:rsidR="00BC31B2" w:rsidRPr="00E42614">
        <w:rPr>
          <w:rFonts w:ascii="Poppins" w:eastAsia="Times New Roman" w:hAnsi="Poppins" w:cs="Poppins"/>
          <w:sz w:val="21"/>
          <w:szCs w:val="21"/>
          <w:lang w:eastAsia="en-GB"/>
        </w:rPr>
        <w:t>– highlight risk to adults who may be driving</w:t>
      </w:r>
      <w:r w:rsidR="006331D1">
        <w:rPr>
          <w:rFonts w:ascii="Poppins" w:eastAsia="Times New Roman" w:hAnsi="Poppins" w:cs="Poppins"/>
          <w:sz w:val="21"/>
          <w:szCs w:val="21"/>
          <w:lang w:eastAsia="en-GB"/>
        </w:rPr>
        <w:t xml:space="preserve"> on treatment days</w:t>
      </w:r>
      <w:r w:rsidR="00846474"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846474" w:rsidRPr="00E42614">
        <w:rPr>
          <w:rFonts w:ascii="Poppins" w:eastAsia="Times New Roman" w:hAnsi="Poppins" w:cs="Poppins"/>
          <w:sz w:val="21"/>
          <w:szCs w:val="21"/>
          <w:lang w:eastAsia="en-GB"/>
        </w:rPr>
      </w:r>
      <w:r w:rsidR="00846474" w:rsidRPr="00E42614">
        <w:rPr>
          <w:rFonts w:ascii="Poppins" w:eastAsia="Times New Roman" w:hAnsi="Poppins" w:cs="Poppins"/>
          <w:sz w:val="21"/>
          <w:szCs w:val="21"/>
          <w:lang w:eastAsia="en-GB"/>
        </w:rPr>
        <w:fldChar w:fldCharType="separate"/>
      </w:r>
      <w:r w:rsidR="00846474" w:rsidRPr="00E42614">
        <w:rPr>
          <w:rFonts w:ascii="Poppins" w:eastAsia="Times New Roman" w:hAnsi="Poppins" w:cs="Poppins"/>
          <w:noProof/>
          <w:sz w:val="21"/>
          <w:szCs w:val="21"/>
          <w:vertAlign w:val="superscript"/>
          <w:lang w:eastAsia="en-GB"/>
        </w:rPr>
        <w:t>(Dias, 2026; Herold, 2023)</w:t>
      </w:r>
      <w:r w:rsidR="00846474" w:rsidRPr="00E42614">
        <w:rPr>
          <w:rFonts w:ascii="Poppins" w:eastAsia="Times New Roman" w:hAnsi="Poppins" w:cs="Poppins"/>
          <w:sz w:val="21"/>
          <w:szCs w:val="21"/>
          <w:lang w:eastAsia="en-GB"/>
        </w:rPr>
        <w:fldChar w:fldCharType="end"/>
      </w:r>
    </w:p>
    <w:p w14:paraId="0FE492BD" w14:textId="276F7283" w:rsidR="00BC31B2" w:rsidRPr="00E42614" w:rsidRDefault="00F76F69"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Haematological abnormalities </w:t>
      </w:r>
      <w:r w:rsidR="005258E6"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w:t>
      </w:r>
      <w:r w:rsidR="005258E6" w:rsidRPr="00E42614">
        <w:rPr>
          <w:rFonts w:ascii="Poppins" w:eastAsia="Times New Roman" w:hAnsi="Poppins" w:cs="Poppins"/>
          <w:sz w:val="21"/>
          <w:szCs w:val="21"/>
          <w:lang w:eastAsia="en-GB"/>
        </w:rPr>
        <w:t xml:space="preserve">low white cell counts are </w:t>
      </w:r>
      <w:r w:rsidR="002E56FF">
        <w:rPr>
          <w:rFonts w:ascii="Poppins" w:eastAsia="Times New Roman" w:hAnsi="Poppins" w:cs="Poppins"/>
          <w:sz w:val="21"/>
          <w:szCs w:val="21"/>
          <w:lang w:eastAsia="en-GB"/>
        </w:rPr>
        <w:t>extremely common</w:t>
      </w:r>
      <w:r w:rsidR="005258E6" w:rsidRPr="00E42614">
        <w:rPr>
          <w:rFonts w:ascii="Poppins" w:eastAsia="Times New Roman" w:hAnsi="Poppins" w:cs="Poppins"/>
          <w:sz w:val="21"/>
          <w:szCs w:val="21"/>
          <w:lang w:eastAsia="en-GB"/>
        </w:rPr>
        <w:t>, peaking on days 4</w:t>
      </w:r>
      <w:r w:rsidR="00AE75AD" w:rsidRPr="00E42614">
        <w:rPr>
          <w:rFonts w:ascii="Poppins" w:eastAsia="Times New Roman" w:hAnsi="Poppins" w:cs="Poppins"/>
          <w:sz w:val="21"/>
          <w:szCs w:val="21"/>
          <w:lang w:eastAsia="en-GB"/>
        </w:rPr>
        <w:t>–</w:t>
      </w:r>
      <w:r w:rsidR="005258E6" w:rsidRPr="00E42614">
        <w:rPr>
          <w:rFonts w:ascii="Poppins" w:eastAsia="Times New Roman" w:hAnsi="Poppins" w:cs="Poppins"/>
          <w:sz w:val="21"/>
          <w:szCs w:val="21"/>
          <w:lang w:eastAsia="en-GB"/>
        </w:rPr>
        <w:t>5.</w:t>
      </w:r>
      <w:r w:rsidR="00135DFE" w:rsidRPr="00E42614">
        <w:rPr>
          <w:rFonts w:ascii="Poppins" w:eastAsia="Times New Roman" w:hAnsi="Poppins" w:cs="Poppins"/>
          <w:sz w:val="21"/>
          <w:szCs w:val="21"/>
          <w:lang w:eastAsia="en-GB"/>
        </w:rPr>
        <w:t xml:space="preserve"> Thrombocytopaenia observed in </w:t>
      </w:r>
      <w:r w:rsidR="00AE75AD" w:rsidRPr="00E42614">
        <w:rPr>
          <w:rFonts w:ascii="Poppins" w:eastAsia="Times New Roman" w:hAnsi="Poppins" w:cs="Poppins"/>
          <w:sz w:val="21"/>
          <w:szCs w:val="21"/>
          <w:lang w:eastAsia="en-GB"/>
        </w:rPr>
        <w:t>approximately</w:t>
      </w:r>
      <w:r w:rsidR="00243588" w:rsidRPr="00E42614">
        <w:rPr>
          <w:rFonts w:ascii="Poppins" w:eastAsia="Times New Roman" w:hAnsi="Poppins" w:cs="Poppins"/>
          <w:sz w:val="21"/>
          <w:szCs w:val="21"/>
          <w:lang w:eastAsia="en-GB"/>
        </w:rPr>
        <w:t xml:space="preserve"> 1 in 5 (21.7</w:t>
      </w:r>
      <w:r w:rsidR="00487F85" w:rsidRPr="00E42614">
        <w:rPr>
          <w:rFonts w:ascii="Poppins" w:eastAsia="Times New Roman" w:hAnsi="Poppins" w:cs="Poppins"/>
          <w:sz w:val="21"/>
          <w:szCs w:val="21"/>
          <w:lang w:eastAsia="en-GB"/>
        </w:rPr>
        <w:t>%) and</w:t>
      </w:r>
      <w:r w:rsidR="00135DFE" w:rsidRPr="00E42614">
        <w:rPr>
          <w:rFonts w:ascii="Poppins" w:eastAsia="Times New Roman" w:hAnsi="Poppins" w:cs="Poppins"/>
          <w:sz w:val="21"/>
          <w:szCs w:val="21"/>
          <w:lang w:eastAsia="en-GB"/>
        </w:rPr>
        <w:t xml:space="preserve"> anaemia in approx</w:t>
      </w:r>
      <w:r w:rsidR="00AE75AD" w:rsidRPr="00E42614">
        <w:rPr>
          <w:rFonts w:ascii="Poppins" w:eastAsia="Times New Roman" w:hAnsi="Poppins" w:cs="Poppins"/>
          <w:sz w:val="21"/>
          <w:szCs w:val="21"/>
          <w:lang w:eastAsia="en-GB"/>
        </w:rPr>
        <w:t>imately</w:t>
      </w:r>
      <w:r w:rsidR="00135DFE" w:rsidRPr="00E42614">
        <w:rPr>
          <w:rFonts w:ascii="Poppins" w:eastAsia="Times New Roman" w:hAnsi="Poppins" w:cs="Poppins"/>
          <w:sz w:val="21"/>
          <w:szCs w:val="21"/>
          <w:lang w:eastAsia="en-GB"/>
        </w:rPr>
        <w:t xml:space="preserve"> </w:t>
      </w:r>
      <w:r w:rsidR="00243588" w:rsidRPr="00E42614">
        <w:rPr>
          <w:rFonts w:ascii="Poppins" w:eastAsia="Times New Roman" w:hAnsi="Poppins" w:cs="Poppins"/>
          <w:sz w:val="21"/>
          <w:szCs w:val="21"/>
          <w:lang w:eastAsia="en-GB"/>
        </w:rPr>
        <w:t>1 in 4 people (</w:t>
      </w:r>
      <w:r w:rsidR="00135DFE" w:rsidRPr="00E42614">
        <w:rPr>
          <w:rFonts w:ascii="Poppins" w:eastAsia="Times New Roman" w:hAnsi="Poppins" w:cs="Poppins"/>
          <w:sz w:val="21"/>
          <w:szCs w:val="21"/>
          <w:lang w:eastAsia="en-GB"/>
        </w:rPr>
        <w:t>2</w:t>
      </w:r>
      <w:r w:rsidR="006331D1">
        <w:rPr>
          <w:rFonts w:ascii="Poppins" w:eastAsia="Times New Roman" w:hAnsi="Poppins" w:cs="Poppins"/>
          <w:sz w:val="21"/>
          <w:szCs w:val="21"/>
          <w:lang w:eastAsia="en-GB"/>
        </w:rPr>
        <w:t>8.8</w:t>
      </w:r>
      <w:r w:rsidR="00135DFE" w:rsidRPr="00E42614">
        <w:rPr>
          <w:rFonts w:ascii="Poppins" w:eastAsia="Times New Roman" w:hAnsi="Poppins" w:cs="Poppins"/>
          <w:sz w:val="21"/>
          <w:szCs w:val="21"/>
          <w:lang w:eastAsia="en-GB"/>
        </w:rPr>
        <w:t>%</w:t>
      </w:r>
      <w:r w:rsidR="00243588" w:rsidRPr="00E42614">
        <w:rPr>
          <w:rFonts w:ascii="Poppins" w:eastAsia="Times New Roman" w:hAnsi="Poppins" w:cs="Poppins"/>
          <w:sz w:val="21"/>
          <w:szCs w:val="21"/>
          <w:lang w:eastAsia="en-GB"/>
        </w:rPr>
        <w:t>)</w:t>
      </w:r>
      <w:r w:rsidR="00243588"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8137D">
        <w:rPr>
          <w:rFonts w:ascii="Poppins" w:eastAsia="Times New Roman" w:hAnsi="Poppins" w:cs="Poppins"/>
          <w:sz w:val="21"/>
          <w:szCs w:val="21"/>
          <w:lang w:eastAsia="en-GB"/>
        </w:rPr>
        <w:instrText xml:space="preserve"> ADDIN EN.CITE </w:instrText>
      </w:r>
      <w:r w:rsidR="0038137D">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8137D">
        <w:rPr>
          <w:rFonts w:ascii="Poppins" w:eastAsia="Times New Roman" w:hAnsi="Poppins" w:cs="Poppins"/>
          <w:sz w:val="21"/>
          <w:szCs w:val="21"/>
          <w:lang w:eastAsia="en-GB"/>
        </w:rPr>
        <w:instrText xml:space="preserve"> ADDIN EN.CITE.DATA </w:instrText>
      </w:r>
      <w:r w:rsidR="0038137D">
        <w:rPr>
          <w:rFonts w:ascii="Poppins" w:eastAsia="Times New Roman" w:hAnsi="Poppins" w:cs="Poppins"/>
          <w:sz w:val="21"/>
          <w:szCs w:val="21"/>
          <w:lang w:eastAsia="en-GB"/>
        </w:rPr>
      </w:r>
      <w:r w:rsidR="0038137D">
        <w:rPr>
          <w:rFonts w:ascii="Poppins" w:eastAsia="Times New Roman" w:hAnsi="Poppins" w:cs="Poppins"/>
          <w:sz w:val="21"/>
          <w:szCs w:val="21"/>
          <w:lang w:eastAsia="en-GB"/>
        </w:rPr>
        <w:fldChar w:fldCharType="end"/>
      </w:r>
      <w:r w:rsidR="00243588" w:rsidRPr="00E42614">
        <w:rPr>
          <w:rFonts w:ascii="Poppins" w:eastAsia="Times New Roman" w:hAnsi="Poppins" w:cs="Poppins"/>
          <w:sz w:val="21"/>
          <w:szCs w:val="21"/>
          <w:lang w:eastAsia="en-GB"/>
        </w:rPr>
      </w:r>
      <w:r w:rsidR="00243588" w:rsidRPr="00E42614">
        <w:rPr>
          <w:rFonts w:ascii="Poppins" w:eastAsia="Times New Roman" w:hAnsi="Poppins" w:cs="Poppins"/>
          <w:sz w:val="21"/>
          <w:szCs w:val="21"/>
          <w:lang w:eastAsia="en-GB"/>
        </w:rPr>
        <w:fldChar w:fldCharType="separate"/>
      </w:r>
      <w:r w:rsidR="0038137D" w:rsidRPr="0038137D">
        <w:rPr>
          <w:rFonts w:ascii="Poppins" w:eastAsia="Times New Roman" w:hAnsi="Poppins" w:cs="Poppins"/>
          <w:noProof/>
          <w:sz w:val="21"/>
          <w:szCs w:val="21"/>
          <w:vertAlign w:val="superscript"/>
          <w:lang w:eastAsia="en-GB"/>
        </w:rPr>
        <w:t>(Dias, 2026; Herold, 2023)</w:t>
      </w:r>
      <w:r w:rsidR="00243588" w:rsidRPr="00E42614">
        <w:rPr>
          <w:rFonts w:ascii="Poppins" w:eastAsia="Times New Roman" w:hAnsi="Poppins" w:cs="Poppins"/>
          <w:sz w:val="21"/>
          <w:szCs w:val="21"/>
          <w:lang w:eastAsia="en-GB"/>
        </w:rPr>
        <w:fldChar w:fldCharType="end"/>
      </w:r>
      <w:r w:rsidR="00AE75AD" w:rsidRPr="00E42614">
        <w:rPr>
          <w:rFonts w:ascii="Poppins" w:eastAsia="Times New Roman" w:hAnsi="Poppins" w:cs="Poppins"/>
          <w:sz w:val="21"/>
          <w:szCs w:val="21"/>
          <w:lang w:eastAsia="en-GB"/>
        </w:rPr>
        <w:t xml:space="preserve"> </w:t>
      </w:r>
    </w:p>
    <w:p w14:paraId="03B20B6D" w14:textId="31523F61" w:rsidR="00F5106F" w:rsidRPr="00E42614" w:rsidRDefault="006331D1" w:rsidP="00D87B2C">
      <w:pPr>
        <w:numPr>
          <w:ilvl w:val="0"/>
          <w:numId w:val="16"/>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Cytokine release syndrome seen </w:t>
      </w:r>
      <w:r w:rsidR="00F5106F" w:rsidRPr="00E42614">
        <w:rPr>
          <w:rFonts w:ascii="Poppins" w:eastAsia="Times New Roman" w:hAnsi="Poppins" w:cs="Poppins"/>
          <w:sz w:val="21"/>
          <w:szCs w:val="21"/>
          <w:lang w:eastAsia="en-GB"/>
        </w:rPr>
        <w:t>I</w:t>
      </w:r>
      <w:r w:rsidR="00243588" w:rsidRPr="00E42614">
        <w:rPr>
          <w:rFonts w:ascii="Poppins" w:eastAsia="Times New Roman" w:hAnsi="Poppins" w:cs="Poppins"/>
          <w:sz w:val="21"/>
          <w:szCs w:val="21"/>
          <w:lang w:eastAsia="en-GB"/>
        </w:rPr>
        <w:t>n approximately 6% of people</w:t>
      </w:r>
      <w:r>
        <w:rPr>
          <w:rFonts w:ascii="Poppins" w:eastAsia="Times New Roman" w:hAnsi="Poppins" w:cs="Poppins"/>
          <w:sz w:val="21"/>
          <w:szCs w:val="21"/>
          <w:lang w:eastAsia="en-GB"/>
        </w:rPr>
        <w:t>, usually during the first 5 days of treatment</w:t>
      </w:r>
      <w:r w:rsidR="008B4BD4" w:rsidRPr="00E42614">
        <w:rPr>
          <w:rFonts w:ascii="Poppins" w:eastAsia="Times New Roman" w:hAnsi="Poppins" w:cs="Poppins"/>
          <w:sz w:val="21"/>
          <w:szCs w:val="21"/>
          <w:lang w:eastAsia="en-GB"/>
        </w:rPr>
        <w:t>. Mitigate risk with premedication with antipyretics and antihistamines</w:t>
      </w:r>
      <w:r w:rsidR="00243588"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43588" w:rsidRPr="00E42614">
        <w:rPr>
          <w:rFonts w:ascii="Poppins" w:hAnsi="Poppins" w:cs="Poppins"/>
          <w:spacing w:val="-2"/>
        </w:rPr>
        <w:fldChar w:fldCharType="separate"/>
      </w:r>
      <w:r w:rsidR="00243588" w:rsidRPr="00E42614">
        <w:rPr>
          <w:rFonts w:ascii="Poppins" w:hAnsi="Poppins" w:cs="Poppins"/>
          <w:noProof/>
          <w:spacing w:val="-2"/>
          <w:vertAlign w:val="superscript"/>
        </w:rPr>
        <w:t>(TZIELD® SmPC)</w:t>
      </w:r>
      <w:r w:rsidR="00243588" w:rsidRPr="00E42614">
        <w:rPr>
          <w:rFonts w:ascii="Poppins" w:hAnsi="Poppins" w:cs="Poppins"/>
          <w:spacing w:val="-2"/>
        </w:rPr>
        <w:fldChar w:fldCharType="end"/>
      </w:r>
    </w:p>
    <w:p w14:paraId="045672AE" w14:textId="40DF76C0" w:rsidR="003A0543" w:rsidRPr="00E42614" w:rsidRDefault="00F5106F"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Infection risk</w:t>
      </w:r>
      <w:r w:rsidR="008B4BD4" w:rsidRPr="00E42614">
        <w:rPr>
          <w:rFonts w:ascii="Poppins" w:eastAsia="Times New Roman" w:hAnsi="Poppins" w:cs="Poppins"/>
          <w:sz w:val="21"/>
          <w:szCs w:val="21"/>
          <w:lang w:eastAsia="en-GB"/>
        </w:rPr>
        <w:t xml:space="preserve"> - </w:t>
      </w:r>
      <w:r w:rsidR="003A0543" w:rsidRPr="00E42614">
        <w:rPr>
          <w:rFonts w:ascii="Poppins" w:eastAsia="Times New Roman" w:hAnsi="Poppins" w:cs="Poppins"/>
          <w:sz w:val="21"/>
          <w:szCs w:val="21"/>
          <w:lang w:eastAsia="en-GB"/>
        </w:rPr>
        <w:t xml:space="preserve">no significant risk of severe infections </w:t>
      </w:r>
      <w:r w:rsidR="00AE75AD" w:rsidRPr="00E42614">
        <w:rPr>
          <w:rFonts w:ascii="Poppins" w:eastAsia="Times New Roman" w:hAnsi="Poppins" w:cs="Poppins"/>
          <w:sz w:val="21"/>
          <w:szCs w:val="21"/>
          <w:lang w:eastAsia="en-GB"/>
        </w:rPr>
        <w:t xml:space="preserve">has been </w:t>
      </w:r>
      <w:r w:rsidR="003A0543" w:rsidRPr="00E42614">
        <w:rPr>
          <w:rFonts w:ascii="Poppins" w:eastAsia="Times New Roman" w:hAnsi="Poppins" w:cs="Poppins"/>
          <w:sz w:val="21"/>
          <w:szCs w:val="21"/>
          <w:lang w:eastAsia="en-GB"/>
        </w:rPr>
        <w:t xml:space="preserve">seen in studies but </w:t>
      </w:r>
      <w:r w:rsidR="006331D1">
        <w:rPr>
          <w:rFonts w:ascii="Poppins" w:eastAsia="Times New Roman" w:hAnsi="Poppins" w:cs="Poppins"/>
          <w:sz w:val="21"/>
          <w:szCs w:val="21"/>
          <w:lang w:eastAsia="en-GB"/>
        </w:rPr>
        <w:t>lymphopenia and neutropenia may put patients at risk of infection</w:t>
      </w:r>
      <w:r w:rsidR="00243588"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43588" w:rsidRPr="00E42614">
        <w:rPr>
          <w:rFonts w:ascii="Poppins" w:hAnsi="Poppins" w:cs="Poppins"/>
          <w:spacing w:val="-2"/>
        </w:rPr>
        <w:fldChar w:fldCharType="separate"/>
      </w:r>
      <w:r w:rsidR="00243588" w:rsidRPr="00E42614">
        <w:rPr>
          <w:rFonts w:ascii="Poppins" w:hAnsi="Poppins" w:cs="Poppins"/>
          <w:noProof/>
          <w:spacing w:val="-2"/>
          <w:vertAlign w:val="superscript"/>
        </w:rPr>
        <w:t>(TZIELD® SmPC)</w:t>
      </w:r>
      <w:r w:rsidR="00243588" w:rsidRPr="00E42614">
        <w:rPr>
          <w:rFonts w:ascii="Poppins" w:hAnsi="Poppins" w:cs="Poppins"/>
          <w:spacing w:val="-2"/>
        </w:rPr>
        <w:fldChar w:fldCharType="end"/>
      </w:r>
    </w:p>
    <w:p w14:paraId="606D18EE" w14:textId="07B0968E" w:rsidR="00F5106F" w:rsidRPr="00E42614" w:rsidRDefault="003A0543"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Transaminitis</w:t>
      </w:r>
      <w:r w:rsidR="004670FA" w:rsidRPr="00E42614">
        <w:rPr>
          <w:rFonts w:ascii="Poppins" w:eastAsia="Times New Roman" w:hAnsi="Poppins" w:cs="Poppins"/>
          <w:sz w:val="21"/>
          <w:szCs w:val="21"/>
          <w:lang w:eastAsia="en-GB"/>
        </w:rPr>
        <w:t xml:space="preserve"> – seen in approximately 1 in 4 people</w:t>
      </w:r>
      <w:r w:rsidR="00243588"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243588" w:rsidRPr="00E42614">
        <w:rPr>
          <w:rFonts w:ascii="Poppins" w:eastAsia="Times New Roman" w:hAnsi="Poppins" w:cs="Poppins"/>
          <w:sz w:val="21"/>
          <w:szCs w:val="21"/>
          <w:lang w:eastAsia="en-GB"/>
        </w:rPr>
      </w:r>
      <w:r w:rsidR="00243588" w:rsidRPr="00E42614">
        <w:rPr>
          <w:rFonts w:ascii="Poppins" w:eastAsia="Times New Roman" w:hAnsi="Poppins" w:cs="Poppins"/>
          <w:sz w:val="21"/>
          <w:szCs w:val="21"/>
          <w:lang w:eastAsia="en-GB"/>
        </w:rPr>
        <w:fldChar w:fldCharType="separate"/>
      </w:r>
      <w:r w:rsidR="00243588" w:rsidRPr="00E42614">
        <w:rPr>
          <w:rFonts w:ascii="Poppins" w:eastAsia="Times New Roman" w:hAnsi="Poppins" w:cs="Poppins"/>
          <w:noProof/>
          <w:sz w:val="21"/>
          <w:szCs w:val="21"/>
          <w:vertAlign w:val="superscript"/>
          <w:lang w:eastAsia="en-GB"/>
        </w:rPr>
        <w:t>(Dias, 2026)</w:t>
      </w:r>
      <w:r w:rsidR="00243588" w:rsidRPr="00E42614">
        <w:rPr>
          <w:rFonts w:ascii="Poppins" w:eastAsia="Times New Roman" w:hAnsi="Poppins" w:cs="Poppins"/>
          <w:sz w:val="21"/>
          <w:szCs w:val="21"/>
          <w:lang w:eastAsia="en-GB"/>
        </w:rPr>
        <w:fldChar w:fldCharType="end"/>
      </w:r>
    </w:p>
    <w:p w14:paraId="63C31DB3" w14:textId="5FF5F2C7" w:rsidR="003A0543" w:rsidRPr="00E42614" w:rsidRDefault="00C95D8C"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lastRenderedPageBreak/>
        <w:t>Hyperglycaemia during infusion, which may require insulin; usually resolves once infusions are completed</w:t>
      </w:r>
      <w:r w:rsidR="00D34510"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D34510" w:rsidRPr="00E42614">
        <w:rPr>
          <w:rFonts w:ascii="Poppins" w:eastAsia="Times New Roman" w:hAnsi="Poppins" w:cs="Poppins"/>
          <w:sz w:val="21"/>
          <w:szCs w:val="21"/>
          <w:lang w:eastAsia="en-GB"/>
        </w:rPr>
      </w:r>
      <w:r w:rsidR="00D34510" w:rsidRPr="00E42614">
        <w:rPr>
          <w:rFonts w:ascii="Poppins" w:eastAsia="Times New Roman" w:hAnsi="Poppins" w:cs="Poppins"/>
          <w:sz w:val="21"/>
          <w:szCs w:val="21"/>
          <w:lang w:eastAsia="en-GB"/>
        </w:rPr>
        <w:fldChar w:fldCharType="separate"/>
      </w:r>
      <w:r w:rsidR="00D34510" w:rsidRPr="00E42614">
        <w:rPr>
          <w:rFonts w:ascii="Poppins" w:eastAsia="Times New Roman" w:hAnsi="Poppins" w:cs="Poppins"/>
          <w:noProof/>
          <w:sz w:val="21"/>
          <w:szCs w:val="21"/>
          <w:vertAlign w:val="superscript"/>
          <w:lang w:eastAsia="en-GB"/>
        </w:rPr>
        <w:t>(Dias, 2026)</w:t>
      </w:r>
      <w:r w:rsidR="00D34510" w:rsidRPr="00E42614">
        <w:rPr>
          <w:rFonts w:ascii="Poppins" w:eastAsia="Times New Roman" w:hAnsi="Poppins" w:cs="Poppins"/>
          <w:sz w:val="21"/>
          <w:szCs w:val="21"/>
          <w:lang w:eastAsia="en-GB"/>
        </w:rPr>
        <w:fldChar w:fldCharType="end"/>
      </w:r>
    </w:p>
    <w:p w14:paraId="4871ADFC" w14:textId="1D984F6F" w:rsidR="00614D9A" w:rsidRDefault="00F5106F" w:rsidP="00974651">
      <w:pPr>
        <w:spacing w:before="120" w:after="120" w:line="240" w:lineRule="auto"/>
        <w:rPr>
          <w:rFonts w:ascii="Poppins" w:eastAsiaTheme="majorEastAsia" w:hAnsi="Poppins" w:cstheme="majorBidi"/>
          <w:b/>
          <w:bCs/>
          <w:color w:val="0023C8"/>
          <w:sz w:val="36"/>
          <w:szCs w:val="28"/>
          <w:lang w:eastAsia="en-GB"/>
        </w:rPr>
      </w:pPr>
      <w:r w:rsidRPr="00E42614">
        <w:rPr>
          <w:rFonts w:ascii="Poppins" w:eastAsia="Times New Roman" w:hAnsi="Poppins" w:cs="Poppins"/>
          <w:sz w:val="21"/>
          <w:szCs w:val="21"/>
          <w:lang w:eastAsia="en-GB"/>
        </w:rPr>
        <w:t>Document consent in the medical record.</w:t>
      </w:r>
      <w:bookmarkStart w:id="13" w:name="_Prescribing_and_supply"/>
      <w:bookmarkStart w:id="14" w:name="_Toc237332036"/>
      <w:bookmarkEnd w:id="13"/>
    </w:p>
    <w:p w14:paraId="621B92BB" w14:textId="1383390C" w:rsidR="00A93403" w:rsidRPr="00E42614" w:rsidRDefault="00F5106F" w:rsidP="00FB3452">
      <w:pPr>
        <w:pStyle w:val="Heading1"/>
        <w:spacing w:before="240" w:after="120"/>
        <w:rPr>
          <w:lang w:eastAsia="en-GB"/>
        </w:rPr>
      </w:pPr>
      <w:r w:rsidRPr="00E42614">
        <w:rPr>
          <w:lang w:eastAsia="en-GB"/>
        </w:rPr>
        <w:t xml:space="preserve">Prescribing and </w:t>
      </w:r>
      <w:r w:rsidR="00AE75AD" w:rsidRPr="00E42614">
        <w:rPr>
          <w:lang w:eastAsia="en-GB"/>
        </w:rPr>
        <w:t>s</w:t>
      </w:r>
      <w:r w:rsidRPr="00E42614">
        <w:rPr>
          <w:lang w:eastAsia="en-GB"/>
        </w:rPr>
        <w:t>upply</w:t>
      </w:r>
      <w:bookmarkEnd w:id="14"/>
    </w:p>
    <w:p w14:paraId="5ED4D53B" w14:textId="69BE8BAB" w:rsidR="00F5106F"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Prescription must be authorised by:</w:t>
      </w:r>
      <w:r w:rsidR="00A93403" w:rsidRPr="00E42614">
        <w:rPr>
          <w:rFonts w:ascii="Poppins" w:eastAsia="Times New Roman" w:hAnsi="Poppins" w:cs="Poppins"/>
          <w:sz w:val="21"/>
          <w:szCs w:val="21"/>
          <w:lang w:eastAsia="en-GB"/>
        </w:rPr>
        <w:t xml:space="preserve"> </w:t>
      </w:r>
      <w:r w:rsidR="00A93403" w:rsidRPr="00E42614">
        <w:rPr>
          <w:rFonts w:ascii="Poppins" w:eastAsia="Times New Roman" w:hAnsi="Poppins" w:cs="Poppins"/>
          <w:color w:val="A6A6A6" w:themeColor="background1" w:themeShade="A6"/>
          <w:sz w:val="21"/>
          <w:szCs w:val="21"/>
          <w:lang w:eastAsia="en-GB"/>
        </w:rPr>
        <w:t>(</w:t>
      </w:r>
      <w:r w:rsidR="00487F85" w:rsidRPr="00E42614">
        <w:rPr>
          <w:rFonts w:ascii="Poppins" w:eastAsia="Times New Roman" w:hAnsi="Poppins" w:cs="Poppins"/>
          <w:bCs/>
          <w:i/>
          <w:iCs/>
          <w:color w:val="808080" w:themeColor="background1" w:themeShade="80"/>
          <w:sz w:val="20"/>
          <w:szCs w:val="20"/>
        </w:rPr>
        <w:t>A</w:t>
      </w:r>
      <w:r w:rsidR="00A93403" w:rsidRPr="00E42614">
        <w:rPr>
          <w:rFonts w:ascii="Poppins" w:eastAsia="Times New Roman" w:hAnsi="Poppins" w:cs="Poppins"/>
          <w:bCs/>
          <w:i/>
          <w:iCs/>
          <w:color w:val="808080" w:themeColor="background1" w:themeShade="80"/>
          <w:sz w:val="20"/>
          <w:szCs w:val="20"/>
        </w:rPr>
        <w:t>mend as agreed locally if appropriate)</w:t>
      </w:r>
    </w:p>
    <w:p w14:paraId="013BC4AE" w14:textId="77777777" w:rsidR="00A93403" w:rsidRPr="00E42614" w:rsidRDefault="00F5106F" w:rsidP="00D87B2C">
      <w:pPr>
        <w:numPr>
          <w:ilvl w:val="0"/>
          <w:numId w:val="1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Consultant </w:t>
      </w:r>
      <w:r w:rsidR="00A93403" w:rsidRPr="00E42614">
        <w:rPr>
          <w:rFonts w:ascii="Poppins" w:eastAsia="Times New Roman" w:hAnsi="Poppins" w:cs="Poppins"/>
          <w:sz w:val="21"/>
          <w:szCs w:val="21"/>
          <w:lang w:eastAsia="en-GB"/>
        </w:rPr>
        <w:t>d</w:t>
      </w:r>
      <w:r w:rsidRPr="00E42614">
        <w:rPr>
          <w:rFonts w:ascii="Poppins" w:eastAsia="Times New Roman" w:hAnsi="Poppins" w:cs="Poppins"/>
          <w:sz w:val="21"/>
          <w:szCs w:val="21"/>
          <w:lang w:eastAsia="en-GB"/>
        </w:rPr>
        <w:t>iabetologist</w:t>
      </w:r>
      <w:r w:rsidR="005F52FE" w:rsidRPr="00E42614">
        <w:rPr>
          <w:rFonts w:ascii="Poppins" w:eastAsia="Times New Roman" w:hAnsi="Poppins" w:cs="Poppins"/>
          <w:sz w:val="21"/>
          <w:szCs w:val="21"/>
          <w:lang w:eastAsia="en-GB"/>
        </w:rPr>
        <w:t xml:space="preserve"> or</w:t>
      </w:r>
    </w:p>
    <w:p w14:paraId="302424DB" w14:textId="40413B61" w:rsidR="00F5106F" w:rsidRPr="00E42614" w:rsidRDefault="0008488D" w:rsidP="00D87B2C">
      <w:pPr>
        <w:numPr>
          <w:ilvl w:val="0"/>
          <w:numId w:val="17"/>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P</w:t>
      </w:r>
      <w:r w:rsidR="00F5106F" w:rsidRPr="00E42614">
        <w:rPr>
          <w:rFonts w:ascii="Poppins" w:eastAsia="Times New Roman" w:hAnsi="Poppins" w:cs="Poppins"/>
          <w:sz w:val="21"/>
          <w:szCs w:val="21"/>
          <w:lang w:eastAsia="en-GB"/>
        </w:rPr>
        <w:t xml:space="preserve">aediatric </w:t>
      </w:r>
      <w:r w:rsidR="00A93403" w:rsidRPr="00E42614">
        <w:rPr>
          <w:rFonts w:ascii="Poppins" w:eastAsia="Times New Roman" w:hAnsi="Poppins" w:cs="Poppins"/>
          <w:sz w:val="21"/>
          <w:szCs w:val="21"/>
          <w:lang w:eastAsia="en-GB"/>
        </w:rPr>
        <w:t>e</w:t>
      </w:r>
      <w:r w:rsidR="00F5106F" w:rsidRPr="00E42614">
        <w:rPr>
          <w:rFonts w:ascii="Poppins" w:eastAsia="Times New Roman" w:hAnsi="Poppins" w:cs="Poppins"/>
          <w:sz w:val="21"/>
          <w:szCs w:val="21"/>
          <w:lang w:eastAsia="en-GB"/>
        </w:rPr>
        <w:t>ndocrinologist</w:t>
      </w:r>
      <w:r>
        <w:rPr>
          <w:rFonts w:ascii="Poppins" w:eastAsia="Times New Roman" w:hAnsi="Poppins" w:cs="Poppins"/>
          <w:sz w:val="21"/>
          <w:szCs w:val="21"/>
          <w:lang w:eastAsia="en-GB"/>
        </w:rPr>
        <w:t xml:space="preserve"> / </w:t>
      </w:r>
      <w:r w:rsidRPr="00E42614">
        <w:rPr>
          <w:rFonts w:ascii="Poppins" w:eastAsia="Times New Roman" w:hAnsi="Poppins" w:cs="Poppins"/>
          <w:sz w:val="21"/>
          <w:szCs w:val="21"/>
          <w:lang w:eastAsia="en-GB"/>
        </w:rPr>
        <w:t>Consultant paediatrician</w:t>
      </w:r>
      <w:r w:rsidR="006331D1">
        <w:rPr>
          <w:rFonts w:ascii="Poppins" w:eastAsia="Times New Roman" w:hAnsi="Poppins" w:cs="Poppins"/>
          <w:sz w:val="21"/>
          <w:szCs w:val="21"/>
          <w:lang w:eastAsia="en-GB"/>
        </w:rPr>
        <w:t>,</w:t>
      </w:r>
      <w:r w:rsidR="0046483E" w:rsidRPr="00E42614">
        <w:rPr>
          <w:rFonts w:ascii="Poppins" w:eastAsia="Times New Roman" w:hAnsi="Poppins" w:cs="Poppins"/>
          <w:sz w:val="21"/>
          <w:szCs w:val="21"/>
          <w:lang w:eastAsia="en-GB"/>
        </w:rPr>
        <w:t xml:space="preserve"> with expertise in diabetes</w:t>
      </w:r>
    </w:p>
    <w:p w14:paraId="327FC3B6" w14:textId="4A4B6704" w:rsidR="00B6269E" w:rsidRPr="00E42614" w:rsidRDefault="00B6269E" w:rsidP="00974651">
      <w:pPr>
        <w:spacing w:before="120" w:after="120" w:line="240" w:lineRule="auto"/>
        <w:rPr>
          <w:rFonts w:ascii="Poppins" w:hAnsi="Poppins" w:cs="Poppins"/>
          <w:spacing w:val="-2"/>
        </w:rPr>
      </w:pPr>
      <w:r w:rsidRPr="00E42614">
        <w:rPr>
          <w:rFonts w:ascii="Poppins" w:eastAsia="Times New Roman" w:hAnsi="Poppins" w:cs="Poppins"/>
          <w:sz w:val="21"/>
          <w:szCs w:val="21"/>
          <w:lang w:eastAsia="en-GB"/>
        </w:rPr>
        <w:t>Premedication to be prescribed in addition to teplizumab for days 1</w:t>
      </w:r>
      <w:r w:rsidR="00AE75AD"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5 with additional doses if required: </w:t>
      </w:r>
      <w:r w:rsidR="009F6F38" w:rsidRPr="00E42614">
        <w:rPr>
          <w:rFonts w:ascii="Poppins" w:eastAsia="Times New Roman" w:hAnsi="Poppins" w:cs="Poppins"/>
          <w:sz w:val="21"/>
          <w:szCs w:val="21"/>
          <w:lang w:eastAsia="en-GB"/>
        </w:rPr>
        <w:t>Non-steroidal anti-inflammatory (</w:t>
      </w:r>
      <w:r w:rsidRPr="00E42614">
        <w:rPr>
          <w:rFonts w:ascii="Poppins" w:eastAsia="Times New Roman" w:hAnsi="Poppins" w:cs="Poppins"/>
          <w:sz w:val="21"/>
          <w:szCs w:val="21"/>
          <w:lang w:eastAsia="en-GB"/>
        </w:rPr>
        <w:t>NSAID</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or paracetamol, antihistamine</w:t>
      </w:r>
      <w:r w:rsidR="006331D1">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and/or antiemetic</w:t>
      </w:r>
      <w:r w:rsidRPr="00E42614">
        <w:rPr>
          <w:rFonts w:ascii="Poppins" w:hAnsi="Poppins" w:cs="Poppins"/>
          <w:spacing w:val="-2"/>
        </w:rPr>
        <w:t xml:space="preserve"> </w:t>
      </w:r>
      <w:r w:rsidRPr="00E42614">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6331D1">
        <w:rPr>
          <w:rFonts w:ascii="Poppins" w:hAnsi="Poppins" w:cs="Poppins"/>
          <w:spacing w:val="-2"/>
        </w:rPr>
        <w:instrText xml:space="preserve"> ADDIN EN.CITE </w:instrText>
      </w:r>
      <w:r w:rsidR="006331D1">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6331D1">
        <w:rPr>
          <w:rFonts w:ascii="Poppins" w:hAnsi="Poppins" w:cs="Poppins"/>
          <w:spacing w:val="-2"/>
        </w:rPr>
        <w:instrText xml:space="preserve"> ADDIN EN.CITE.DATA </w:instrText>
      </w:r>
      <w:r w:rsidR="006331D1">
        <w:rPr>
          <w:rFonts w:ascii="Poppins" w:hAnsi="Poppins" w:cs="Poppins"/>
          <w:spacing w:val="-2"/>
        </w:rPr>
      </w:r>
      <w:r w:rsidR="006331D1">
        <w:rPr>
          <w:rFonts w:ascii="Poppins" w:hAnsi="Poppins" w:cs="Poppins"/>
          <w:spacing w:val="-2"/>
        </w:rPr>
        <w:fldChar w:fldCharType="end"/>
      </w:r>
      <w:r w:rsidRPr="00E42614">
        <w:rPr>
          <w:rFonts w:ascii="Poppins" w:hAnsi="Poppins" w:cs="Poppins"/>
          <w:spacing w:val="-2"/>
        </w:rPr>
      </w:r>
      <w:r w:rsidRPr="00E42614">
        <w:rPr>
          <w:rFonts w:ascii="Poppins" w:hAnsi="Poppins" w:cs="Poppins"/>
          <w:spacing w:val="-2"/>
        </w:rPr>
        <w:fldChar w:fldCharType="separate"/>
      </w:r>
      <w:r w:rsidR="006331D1" w:rsidRPr="006331D1">
        <w:rPr>
          <w:rFonts w:ascii="Poppins" w:hAnsi="Poppins" w:cs="Poppins"/>
          <w:noProof/>
          <w:spacing w:val="-2"/>
          <w:vertAlign w:val="superscript"/>
        </w:rPr>
        <w:t>(TZIELD® SmPC; Dias, 2026)</w:t>
      </w:r>
      <w:r w:rsidRPr="00E42614">
        <w:rPr>
          <w:rFonts w:ascii="Poppins" w:hAnsi="Poppins" w:cs="Poppins"/>
          <w:spacing w:val="-2"/>
        </w:rPr>
        <w:fldChar w:fldCharType="end"/>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127AA9" w:rsidRPr="00E42614" w14:paraId="49121787" w14:textId="77777777" w:rsidTr="00E66AA6">
        <w:tc>
          <w:tcPr>
            <w:tcW w:w="4252" w:type="dxa"/>
            <w:shd w:val="clear" w:color="auto" w:fill="9FD8FF"/>
            <w:vAlign w:val="center"/>
          </w:tcPr>
          <w:p w14:paraId="164F50BB" w14:textId="77777777" w:rsidR="00127AA9" w:rsidRPr="00974651" w:rsidRDefault="00127AA9" w:rsidP="00974651">
            <w:pPr>
              <w:spacing w:before="120" w:after="120"/>
              <w:rPr>
                <w:rFonts w:ascii="Poppins" w:eastAsia="Times New Roman" w:hAnsi="Poppins" w:cs="Poppins"/>
                <w:b/>
                <w:bCs/>
                <w:color w:val="0023C8"/>
                <w:sz w:val="21"/>
                <w:szCs w:val="21"/>
                <w:lang w:eastAsia="en-GB"/>
              </w:rPr>
            </w:pPr>
            <w:r w:rsidRPr="00974651">
              <w:rPr>
                <w:rFonts w:ascii="Poppins" w:eastAsia="Times New Roman" w:hAnsi="Poppins" w:cs="Poppins"/>
                <w:b/>
                <w:bCs/>
                <w:color w:val="0023C8"/>
                <w:sz w:val="21"/>
                <w:szCs w:val="21"/>
                <w:lang w:eastAsia="en-GB"/>
              </w:rPr>
              <w:t>Medication</w:t>
            </w:r>
          </w:p>
        </w:tc>
        <w:tc>
          <w:tcPr>
            <w:tcW w:w="4252" w:type="dxa"/>
            <w:shd w:val="clear" w:color="auto" w:fill="9FD8FF"/>
            <w:vAlign w:val="center"/>
          </w:tcPr>
          <w:p w14:paraId="7BD8D937" w14:textId="77777777" w:rsidR="00127AA9" w:rsidRPr="00974651" w:rsidRDefault="00127AA9" w:rsidP="00974651">
            <w:pPr>
              <w:spacing w:before="120" w:after="120"/>
              <w:rPr>
                <w:rFonts w:ascii="Poppins" w:eastAsia="Times New Roman" w:hAnsi="Poppins" w:cs="Poppins"/>
                <w:b/>
                <w:bCs/>
                <w:color w:val="0023C8"/>
                <w:sz w:val="21"/>
                <w:szCs w:val="21"/>
                <w:lang w:eastAsia="en-GB"/>
              </w:rPr>
            </w:pPr>
            <w:r w:rsidRPr="00974651">
              <w:rPr>
                <w:rFonts w:ascii="Poppins" w:eastAsia="Times New Roman" w:hAnsi="Poppins" w:cs="Poppins"/>
                <w:b/>
                <w:bCs/>
                <w:color w:val="0023C8"/>
                <w:sz w:val="21"/>
                <w:szCs w:val="21"/>
                <w:lang w:eastAsia="en-GB"/>
              </w:rPr>
              <w:t>Suggested use</w:t>
            </w:r>
          </w:p>
        </w:tc>
      </w:tr>
      <w:tr w:rsidR="00EF7915" w:rsidRPr="00E42614" w14:paraId="13D1E92C" w14:textId="77777777" w:rsidTr="00E66AA6">
        <w:tc>
          <w:tcPr>
            <w:tcW w:w="4252" w:type="dxa"/>
            <w:shd w:val="clear" w:color="auto" w:fill="F2F2F2" w:themeFill="background1" w:themeFillShade="F2"/>
            <w:vAlign w:val="center"/>
          </w:tcPr>
          <w:p w14:paraId="561D7C52" w14:textId="5B259EFE" w:rsidR="00EF7915" w:rsidRPr="00F45610" w:rsidRDefault="00EF7915"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Paracetamol</w:t>
            </w:r>
            <w:r w:rsidR="00652D4F">
              <w:rPr>
                <w:rFonts w:ascii="Poppins" w:eastAsia="Times New Roman" w:hAnsi="Poppins" w:cs="Poppins"/>
                <w:sz w:val="18"/>
                <w:szCs w:val="18"/>
                <w:lang w:eastAsia="en-GB"/>
              </w:rPr>
              <w:t xml:space="preserve"> or NSAID</w:t>
            </w:r>
          </w:p>
        </w:tc>
        <w:tc>
          <w:tcPr>
            <w:tcW w:w="4252" w:type="dxa"/>
            <w:vMerge w:val="restart"/>
            <w:shd w:val="clear" w:color="auto" w:fill="F2F2F2" w:themeFill="background1" w:themeFillShade="F2"/>
            <w:vAlign w:val="center"/>
          </w:tcPr>
          <w:p w14:paraId="44372D4E" w14:textId="1CD12FD0" w:rsidR="00EF7915" w:rsidRPr="00F45610" w:rsidRDefault="00B360FF" w:rsidP="000D6382">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Before infusion for Days 1–5, then </w:t>
            </w:r>
            <w:r>
              <w:rPr>
                <w:rFonts w:ascii="Poppins" w:eastAsia="Times New Roman" w:hAnsi="Poppins" w:cs="Poppins"/>
                <w:sz w:val="18"/>
                <w:szCs w:val="18"/>
                <w:lang w:eastAsia="en-GB"/>
              </w:rPr>
              <w:t>c</w:t>
            </w:r>
            <w:r w:rsidRPr="000D6382">
              <w:rPr>
                <w:rFonts w:ascii="Poppins" w:eastAsia="Times New Roman" w:hAnsi="Poppins" w:cs="Poppins"/>
                <w:sz w:val="18"/>
                <w:szCs w:val="18"/>
                <w:lang w:eastAsia="en-GB"/>
              </w:rPr>
              <w:t>onsider giving regularly in the first 5 days of treatment and as</w:t>
            </w:r>
            <w:r>
              <w:rPr>
                <w:rFonts w:ascii="Poppins" w:eastAsia="Times New Roman" w:hAnsi="Poppins" w:cs="Poppins"/>
                <w:sz w:val="18"/>
                <w:szCs w:val="18"/>
                <w:lang w:eastAsia="en-GB"/>
              </w:rPr>
              <w:t xml:space="preserve"> </w:t>
            </w:r>
            <w:r w:rsidRPr="000D6382">
              <w:rPr>
                <w:rFonts w:ascii="Poppins" w:eastAsia="Times New Roman" w:hAnsi="Poppins" w:cs="Poppins"/>
                <w:sz w:val="18"/>
                <w:szCs w:val="18"/>
                <w:lang w:eastAsia="en-GB"/>
              </w:rPr>
              <w:t>required on subsequent infusion days</w:t>
            </w:r>
          </w:p>
        </w:tc>
      </w:tr>
      <w:tr w:rsidR="00EF7915" w:rsidRPr="00E42614" w14:paraId="00102434" w14:textId="77777777" w:rsidTr="00E66AA6">
        <w:trPr>
          <w:trHeight w:val="624"/>
        </w:trPr>
        <w:tc>
          <w:tcPr>
            <w:tcW w:w="4252" w:type="dxa"/>
            <w:shd w:val="clear" w:color="auto" w:fill="F2F2F2" w:themeFill="background1" w:themeFillShade="F2"/>
            <w:vAlign w:val="center"/>
          </w:tcPr>
          <w:p w14:paraId="077C0ED5" w14:textId="58F59029" w:rsidR="00EF7915" w:rsidRPr="00F45610" w:rsidRDefault="00EF7915"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Chlorphenamine or non-sedating antihistamine according to local policy</w:t>
            </w:r>
          </w:p>
        </w:tc>
        <w:tc>
          <w:tcPr>
            <w:tcW w:w="4252" w:type="dxa"/>
            <w:vMerge/>
            <w:shd w:val="clear" w:color="auto" w:fill="F2F2F2" w:themeFill="background1" w:themeFillShade="F2"/>
            <w:vAlign w:val="center"/>
          </w:tcPr>
          <w:p w14:paraId="3D51A412" w14:textId="5648ECBC" w:rsidR="00EF7915" w:rsidRPr="00F45610" w:rsidRDefault="00EF7915" w:rsidP="00974651">
            <w:pPr>
              <w:spacing w:before="120" w:after="120"/>
              <w:rPr>
                <w:rFonts w:ascii="Poppins" w:eastAsia="Times New Roman" w:hAnsi="Poppins" w:cs="Poppins"/>
                <w:sz w:val="18"/>
                <w:szCs w:val="18"/>
                <w:lang w:eastAsia="en-GB"/>
              </w:rPr>
            </w:pPr>
          </w:p>
        </w:tc>
      </w:tr>
      <w:tr w:rsidR="00127AA9" w:rsidRPr="00E42614" w14:paraId="53F0AD7E" w14:textId="77777777" w:rsidTr="00E66AA6">
        <w:tc>
          <w:tcPr>
            <w:tcW w:w="4252" w:type="dxa"/>
            <w:shd w:val="clear" w:color="auto" w:fill="F2F2F2" w:themeFill="background1" w:themeFillShade="F2"/>
            <w:vAlign w:val="center"/>
          </w:tcPr>
          <w:p w14:paraId="06499451" w14:textId="77777777" w:rsidR="00127AA9" w:rsidRPr="00F45610" w:rsidRDefault="00127AA9"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Ondansetron</w:t>
            </w:r>
          </w:p>
        </w:tc>
        <w:tc>
          <w:tcPr>
            <w:tcW w:w="4252" w:type="dxa"/>
            <w:shd w:val="clear" w:color="auto" w:fill="F2F2F2" w:themeFill="background1" w:themeFillShade="F2"/>
            <w:vAlign w:val="center"/>
          </w:tcPr>
          <w:p w14:paraId="4FCBAE75" w14:textId="4A6D44B9" w:rsidR="00127AA9" w:rsidRPr="00F45610" w:rsidRDefault="00EF7915" w:rsidP="00974651">
            <w:pPr>
              <w:spacing w:before="120" w:after="120"/>
              <w:rPr>
                <w:rFonts w:ascii="Poppins" w:eastAsia="Times New Roman" w:hAnsi="Poppins" w:cs="Poppins"/>
                <w:sz w:val="18"/>
                <w:szCs w:val="18"/>
                <w:lang w:eastAsia="en-GB"/>
              </w:rPr>
            </w:pPr>
            <w:r>
              <w:rPr>
                <w:rFonts w:ascii="Poppins" w:eastAsia="Times New Roman" w:hAnsi="Poppins" w:cs="Poppins"/>
                <w:sz w:val="18"/>
                <w:szCs w:val="18"/>
                <w:lang w:eastAsia="en-GB"/>
              </w:rPr>
              <w:t>Consider giving an anti-emetic</w:t>
            </w:r>
          </w:p>
        </w:tc>
      </w:tr>
    </w:tbl>
    <w:p w14:paraId="75A6AFA9" w14:textId="010C4108" w:rsidR="00F5106F" w:rsidRPr="00974651" w:rsidRDefault="00F5106F" w:rsidP="00974651">
      <w:pPr>
        <w:spacing w:before="240" w:after="120" w:line="240" w:lineRule="auto"/>
        <w:rPr>
          <w:rFonts w:ascii="Poppins" w:eastAsia="Times New Roman" w:hAnsi="Poppins" w:cs="Poppins"/>
          <w:b/>
          <w:bCs/>
          <w:sz w:val="21"/>
          <w:szCs w:val="21"/>
          <w:lang w:eastAsia="en-GB"/>
        </w:rPr>
      </w:pPr>
      <w:r w:rsidRPr="00974651">
        <w:rPr>
          <w:rFonts w:ascii="Poppins" w:eastAsia="Times New Roman" w:hAnsi="Poppins" w:cs="Poppins"/>
          <w:b/>
          <w:bCs/>
          <w:sz w:val="21"/>
          <w:szCs w:val="21"/>
          <w:lang w:eastAsia="en-GB"/>
        </w:rPr>
        <w:t>Pharmacy must:</w:t>
      </w:r>
    </w:p>
    <w:p w14:paraId="5C676E55" w14:textId="79DD4561" w:rsidR="00A71458" w:rsidRPr="00E42614" w:rsidRDefault="00A71458"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Ensure teplizumab is added to</w:t>
      </w:r>
      <w:r w:rsidR="009F6F38" w:rsidRPr="00E42614">
        <w:rPr>
          <w:rFonts w:ascii="Poppins" w:eastAsia="Times New Roman" w:hAnsi="Poppins" w:cs="Poppins"/>
          <w:sz w:val="21"/>
          <w:szCs w:val="21"/>
          <w:lang w:eastAsia="en-GB"/>
        </w:rPr>
        <w:t xml:space="preserve"> </w:t>
      </w:r>
      <w:r w:rsidR="006331D1">
        <w:rPr>
          <w:rFonts w:ascii="Poppins" w:eastAsia="Times New Roman" w:hAnsi="Poppins" w:cs="Poppins"/>
          <w:sz w:val="21"/>
          <w:szCs w:val="21"/>
          <w:lang w:eastAsia="en-GB"/>
        </w:rPr>
        <w:t xml:space="preserve">the </w:t>
      </w:r>
      <w:r w:rsidR="009F6F38" w:rsidRPr="00E42614">
        <w:rPr>
          <w:rFonts w:ascii="Poppins" w:eastAsia="Times New Roman" w:hAnsi="Poppins" w:cs="Poppins"/>
          <w:sz w:val="21"/>
          <w:szCs w:val="21"/>
          <w:lang w:eastAsia="en-GB"/>
        </w:rPr>
        <w:t>electronic prescribing and medicines administration</w:t>
      </w:r>
      <w:r w:rsidRPr="00E42614">
        <w:rPr>
          <w:rFonts w:ascii="Poppins" w:eastAsia="Times New Roman" w:hAnsi="Poppins" w:cs="Poppins"/>
          <w:sz w:val="21"/>
          <w:szCs w:val="21"/>
          <w:lang w:eastAsia="en-GB"/>
        </w:rPr>
        <w:t xml:space="preserve"> </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EPMA</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system</w:t>
      </w:r>
    </w:p>
    <w:p w14:paraId="1BC68E17" w14:textId="77777777" w:rsidR="00A71458" w:rsidRPr="00E42614" w:rsidRDefault="00A71458"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Procure stock</w:t>
      </w:r>
    </w:p>
    <w:p w14:paraId="16ADD8E3" w14:textId="39DA5DB6" w:rsidR="00F5106F" w:rsidRPr="00E42614" w:rsidRDefault="00F5106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Verify </w:t>
      </w:r>
      <w:r w:rsidR="00A71458" w:rsidRPr="00E42614">
        <w:rPr>
          <w:rFonts w:ascii="Poppins" w:eastAsia="Times New Roman" w:hAnsi="Poppins" w:cs="Poppins"/>
          <w:sz w:val="21"/>
          <w:szCs w:val="21"/>
          <w:lang w:eastAsia="en-GB"/>
        </w:rPr>
        <w:t xml:space="preserve">patient </w:t>
      </w:r>
      <w:r w:rsidRPr="00E42614">
        <w:rPr>
          <w:rFonts w:ascii="Poppins" w:eastAsia="Times New Roman" w:hAnsi="Poppins" w:cs="Poppins"/>
          <w:sz w:val="21"/>
          <w:szCs w:val="21"/>
          <w:lang w:eastAsia="en-GB"/>
        </w:rPr>
        <w:t>eligibility</w:t>
      </w:r>
      <w:r w:rsidR="00A71458" w:rsidRPr="00E42614">
        <w:rPr>
          <w:rFonts w:ascii="Poppins" w:eastAsia="Times New Roman" w:hAnsi="Poppins" w:cs="Poppins"/>
          <w:sz w:val="21"/>
          <w:szCs w:val="21"/>
          <w:lang w:eastAsia="en-GB"/>
        </w:rPr>
        <w:t xml:space="preserve"> for teplizumab</w:t>
      </w:r>
    </w:p>
    <w:p w14:paraId="266644EC" w14:textId="77777777" w:rsidR="00F5106F" w:rsidRPr="00E42614" w:rsidRDefault="00F5106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Check weight-based dosing</w:t>
      </w:r>
    </w:p>
    <w:p w14:paraId="24B1FF49" w14:textId="4073B7BD" w:rsidR="00B6269E" w:rsidRPr="00E42614" w:rsidRDefault="00B6269E"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Dispense teplizumab and pre-medication</w:t>
      </w:r>
    </w:p>
    <w:p w14:paraId="0447EF7C" w14:textId="77777777" w:rsidR="00F5106F" w:rsidRPr="00E42614" w:rsidRDefault="00F5106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Document batch numbers</w:t>
      </w:r>
    </w:p>
    <w:p w14:paraId="4AD468CB" w14:textId="4691BE7C" w:rsidR="009D49C0" w:rsidRPr="00E42614" w:rsidRDefault="0029799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Complete Blueteq process if relevant for the Trust</w:t>
      </w:r>
    </w:p>
    <w:p w14:paraId="4DAA00F1" w14:textId="271CC181" w:rsidR="00851275" w:rsidRPr="00974651" w:rsidRDefault="00851275" w:rsidP="00D56022">
      <w:pPr>
        <w:spacing w:before="240" w:after="60" w:line="240" w:lineRule="auto"/>
        <w:rPr>
          <w:rFonts w:ascii="Poppins" w:eastAsia="Times New Roman" w:hAnsi="Poppins" w:cs="Poppins"/>
          <w:b/>
          <w:bCs/>
          <w:sz w:val="21"/>
          <w:szCs w:val="21"/>
          <w:lang w:eastAsia="en-GB"/>
        </w:rPr>
      </w:pPr>
      <w:r w:rsidRPr="00974651">
        <w:rPr>
          <w:rFonts w:ascii="Poppins" w:eastAsia="Times New Roman" w:hAnsi="Poppins" w:cs="Poppins"/>
          <w:b/>
          <w:bCs/>
          <w:sz w:val="21"/>
          <w:szCs w:val="21"/>
          <w:lang w:eastAsia="en-GB"/>
        </w:rPr>
        <w:t>Infusion delivery area must ensure:</w:t>
      </w:r>
    </w:p>
    <w:p w14:paraId="27D46971" w14:textId="5BA9C912" w:rsidR="00E751A8" w:rsidRPr="00E42614" w:rsidRDefault="00E751A8" w:rsidP="00D87B2C">
      <w:pPr>
        <w:pStyle w:val="ListParagraph"/>
        <w:numPr>
          <w:ilvl w:val="0"/>
          <w:numId w:val="24"/>
        </w:numPr>
        <w:spacing w:before="60" w:after="60" w:line="240" w:lineRule="auto"/>
        <w:ind w:left="360"/>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Staff are specifically trained in teplizumab preparation and delivery</w:t>
      </w:r>
    </w:p>
    <w:p w14:paraId="61FA17CC" w14:textId="0F176FCA" w:rsidR="00614D9A" w:rsidRPr="00FB3452" w:rsidRDefault="00E751A8" w:rsidP="00FB3452">
      <w:pPr>
        <w:pStyle w:val="ListParagraph"/>
        <w:numPr>
          <w:ilvl w:val="0"/>
          <w:numId w:val="24"/>
        </w:numPr>
        <w:spacing w:before="60" w:after="60" w:line="240" w:lineRule="auto"/>
        <w:ind w:left="360"/>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Staff are trained in aseptic technique</w:t>
      </w:r>
      <w:bookmarkStart w:id="15" w:name="_Administration_of_teplizumab"/>
      <w:bookmarkStart w:id="16" w:name="_Toc237332037"/>
      <w:bookmarkEnd w:id="15"/>
      <w:r w:rsidR="00614D9A">
        <w:rPr>
          <w:lang w:eastAsia="en-GB"/>
        </w:rPr>
        <w:br w:type="page"/>
      </w:r>
    </w:p>
    <w:p w14:paraId="468D8C2C" w14:textId="4C2C7E67" w:rsidR="009D49C0" w:rsidRPr="00E42614" w:rsidRDefault="009D49C0" w:rsidP="00974651">
      <w:pPr>
        <w:pStyle w:val="Heading1"/>
        <w:spacing w:before="120" w:after="120"/>
        <w:rPr>
          <w:lang w:eastAsia="en-GB"/>
        </w:rPr>
      </w:pPr>
      <w:r w:rsidRPr="00E42614">
        <w:rPr>
          <w:lang w:eastAsia="en-GB"/>
        </w:rPr>
        <w:lastRenderedPageBreak/>
        <w:t xml:space="preserve">Administration of </w:t>
      </w:r>
      <w:r w:rsidR="00AE75AD" w:rsidRPr="00E42614">
        <w:rPr>
          <w:lang w:eastAsia="en-GB"/>
        </w:rPr>
        <w:t>t</w:t>
      </w:r>
      <w:r w:rsidRPr="00E42614">
        <w:rPr>
          <w:lang w:eastAsia="en-GB"/>
        </w:rPr>
        <w:t>eplizumab</w:t>
      </w:r>
      <w:bookmarkEnd w:id="16"/>
      <w:r w:rsidRPr="00E42614">
        <w:rPr>
          <w:lang w:eastAsia="en-GB"/>
        </w:rPr>
        <w:t xml:space="preserve"> </w:t>
      </w:r>
    </w:p>
    <w:p w14:paraId="2B0699EB" w14:textId="38BB9472" w:rsidR="005B1D3E" w:rsidRPr="00E42614" w:rsidRDefault="001E1DC7"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Refer to </w:t>
      </w:r>
      <w:r w:rsidR="00AD405E" w:rsidRPr="00E42614">
        <w:rPr>
          <w:rFonts w:ascii="Poppins" w:eastAsia="Times New Roman" w:hAnsi="Poppins" w:cs="Poppins"/>
          <w:sz w:val="21"/>
          <w:szCs w:val="21"/>
          <w:lang w:eastAsia="en-GB"/>
        </w:rPr>
        <w:t>Trust</w:t>
      </w:r>
      <w:r w:rsidRPr="00E42614">
        <w:rPr>
          <w:rFonts w:ascii="Poppins" w:eastAsia="Times New Roman" w:hAnsi="Poppins" w:cs="Poppins"/>
          <w:sz w:val="21"/>
          <w:szCs w:val="21"/>
          <w:lang w:eastAsia="en-GB"/>
        </w:rPr>
        <w:t xml:space="preserve"> protocol</w:t>
      </w:r>
      <w:r w:rsidR="00AD405E" w:rsidRPr="00E42614">
        <w:rPr>
          <w:rFonts w:ascii="Poppins" w:eastAsia="Times New Roman" w:hAnsi="Poppins" w:cs="Poppins"/>
          <w:sz w:val="21"/>
          <w:szCs w:val="21"/>
          <w:lang w:eastAsia="en-GB"/>
        </w:rPr>
        <w:t>s for IV administration</w:t>
      </w:r>
      <w:r w:rsidR="006331D1">
        <w:rPr>
          <w:rFonts w:ascii="Poppins" w:eastAsia="Times New Roman" w:hAnsi="Poppins" w:cs="Poppins"/>
          <w:sz w:val="21"/>
          <w:szCs w:val="21"/>
          <w:lang w:eastAsia="en-GB"/>
        </w:rPr>
        <w:t>.</w:t>
      </w:r>
    </w:p>
    <w:p w14:paraId="3F475F6F" w14:textId="20341C10" w:rsidR="009D49C0" w:rsidRPr="00E42614" w:rsidRDefault="009D49C0"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Treatment </w:t>
      </w:r>
      <w:r w:rsidR="00AE75AD" w:rsidRPr="00E42614">
        <w:rPr>
          <w:rFonts w:ascii="Poppins" w:eastAsia="Times New Roman" w:hAnsi="Poppins" w:cs="Poppins"/>
          <w:b/>
          <w:bCs/>
          <w:lang w:eastAsia="en-GB"/>
        </w:rPr>
        <w:t>r</w:t>
      </w:r>
      <w:r w:rsidRPr="00E42614">
        <w:rPr>
          <w:rFonts w:ascii="Poppins" w:eastAsia="Times New Roman" w:hAnsi="Poppins" w:cs="Poppins"/>
          <w:b/>
          <w:bCs/>
          <w:lang w:eastAsia="en-GB"/>
        </w:rPr>
        <w:t>egimen</w:t>
      </w:r>
      <w:r w:rsidR="00AD405E"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AD405E" w:rsidRPr="00E42614">
        <w:rPr>
          <w:rFonts w:ascii="Poppins" w:hAnsi="Poppins" w:cs="Poppins"/>
          <w:spacing w:val="-2"/>
        </w:rPr>
        <w:fldChar w:fldCharType="separate"/>
      </w:r>
      <w:r w:rsidR="00AD405E" w:rsidRPr="00E42614">
        <w:rPr>
          <w:rFonts w:ascii="Poppins" w:hAnsi="Poppins" w:cs="Poppins"/>
          <w:noProof/>
          <w:spacing w:val="-2"/>
          <w:vertAlign w:val="superscript"/>
        </w:rPr>
        <w:t>(TZIELD® SmPC)</w:t>
      </w:r>
      <w:r w:rsidR="00AD405E" w:rsidRPr="00E42614">
        <w:rPr>
          <w:rFonts w:ascii="Poppins" w:hAnsi="Poppins" w:cs="Poppins"/>
          <w:spacing w:val="-2"/>
        </w:rPr>
        <w:fldChar w:fldCharType="end"/>
      </w:r>
    </w:p>
    <w:p w14:paraId="3024EAEF" w14:textId="0B4A3089"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Teplizumab is administered:</w:t>
      </w:r>
    </w:p>
    <w:p w14:paraId="1355A2DA" w14:textId="2A117546" w:rsidR="009D49C0" w:rsidRPr="00E42614" w:rsidRDefault="00C6012B"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By i</w:t>
      </w:r>
      <w:r w:rsidR="009D49C0" w:rsidRPr="00E42614">
        <w:rPr>
          <w:rFonts w:ascii="Poppins" w:eastAsia="Times New Roman" w:hAnsi="Poppins" w:cs="Poppins"/>
          <w:sz w:val="21"/>
          <w:szCs w:val="21"/>
          <w:lang w:eastAsia="en-GB"/>
        </w:rPr>
        <w:t>ntravenous infusion</w:t>
      </w:r>
      <w:r w:rsidR="006331D1">
        <w:rPr>
          <w:rFonts w:ascii="Poppins" w:eastAsia="Times New Roman" w:hAnsi="Poppins" w:cs="Poppins"/>
          <w:sz w:val="21"/>
          <w:szCs w:val="21"/>
          <w:lang w:eastAsia="en-GB"/>
        </w:rPr>
        <w:t xml:space="preserve"> over a minimum of 30 minutes</w:t>
      </w:r>
    </w:p>
    <w:p w14:paraId="5755385F" w14:textId="77777777" w:rsidR="009D49C0" w:rsidRPr="00E42614" w:rsidRDefault="009D49C0"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Once daily</w:t>
      </w:r>
    </w:p>
    <w:p w14:paraId="7B6070AC" w14:textId="197217A6" w:rsidR="009D49C0" w:rsidRDefault="009D49C0"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For 14 days</w:t>
      </w:r>
      <w:r w:rsidR="007358CB" w:rsidRPr="00E42614">
        <w:rPr>
          <w:rFonts w:ascii="Poppins" w:eastAsia="Times New Roman" w:hAnsi="Poppins" w:cs="Poppins"/>
          <w:sz w:val="21"/>
          <w:szCs w:val="21"/>
          <w:lang w:eastAsia="en-GB"/>
        </w:rPr>
        <w:t xml:space="preserve"> in total</w:t>
      </w:r>
      <w:r w:rsidR="00334DD2">
        <w:rPr>
          <w:rFonts w:ascii="Poppins" w:eastAsia="Times New Roman" w:hAnsi="Poppins" w:cs="Poppins"/>
          <w:sz w:val="21"/>
          <w:szCs w:val="21"/>
          <w:lang w:eastAsia="en-GB"/>
        </w:rPr>
        <w:t xml:space="preserve"> on consecutive days. Do not administer two doses on the same day</w:t>
      </w:r>
    </w:p>
    <w:p w14:paraId="408DD0CB" w14:textId="3152C16B" w:rsidR="00993F0A" w:rsidRPr="00E42614" w:rsidRDefault="00993F0A"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993F0A">
        <w:rPr>
          <w:rFonts w:ascii="Poppins" w:eastAsia="Times New Roman" w:hAnsi="Poppins" w:cs="Poppins"/>
          <w:sz w:val="21"/>
          <w:szCs w:val="21"/>
          <w:lang w:val="en-US" w:eastAsia="en-GB"/>
        </w:rPr>
        <w:t>If a planned teplizumab infusion is missed, resume dosing by administering all remaining doses on consecutive days to complete the 14-day treatment course</w:t>
      </w:r>
    </w:p>
    <w:p w14:paraId="3DCF605C" w14:textId="6A451617" w:rsidR="009D49C0" w:rsidRPr="00E42614" w:rsidRDefault="009D49C0" w:rsidP="00974651">
      <w:pPr>
        <w:spacing w:before="24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The treatment consists of a single 14-day treatment course</w:t>
      </w:r>
    </w:p>
    <w:p w14:paraId="24C63F1D" w14:textId="1F3526C2" w:rsidR="00A71458" w:rsidRPr="00E42614" w:rsidRDefault="00A71458" w:rsidP="00974651">
      <w:pPr>
        <w:spacing w:before="120" w:after="120" w:line="240" w:lineRule="auto"/>
        <w:rPr>
          <w:rFonts w:ascii="Poppins" w:hAnsi="Poppins" w:cs="Poppins"/>
          <w:spacing w:val="-2"/>
        </w:rPr>
      </w:pPr>
      <w:r w:rsidRPr="00E42614">
        <w:rPr>
          <w:rFonts w:ascii="Poppins" w:eastAsia="Times New Roman" w:hAnsi="Poppins" w:cs="Poppins"/>
          <w:b/>
          <w:bCs/>
          <w:lang w:eastAsia="en-GB"/>
        </w:rPr>
        <w:t xml:space="preserve">Dosing </w:t>
      </w:r>
      <w:r w:rsidR="00AE75AD" w:rsidRPr="00E42614">
        <w:rPr>
          <w:rFonts w:ascii="Poppins" w:eastAsia="Times New Roman" w:hAnsi="Poppins" w:cs="Poppins"/>
          <w:b/>
          <w:bCs/>
          <w:lang w:eastAsia="en-GB"/>
        </w:rPr>
        <w:t>s</w:t>
      </w:r>
      <w:r w:rsidRPr="00E42614">
        <w:rPr>
          <w:rFonts w:ascii="Poppins" w:eastAsia="Times New Roman" w:hAnsi="Poppins" w:cs="Poppins"/>
          <w:b/>
          <w:bCs/>
          <w:lang w:eastAsia="en-GB"/>
        </w:rPr>
        <w:t>chedule</w:t>
      </w:r>
      <w:r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Pr="00E42614">
        <w:rPr>
          <w:rFonts w:ascii="Poppins" w:hAnsi="Poppins" w:cs="Poppins"/>
          <w:noProof/>
          <w:spacing w:val="-2"/>
          <w:vertAlign w:val="superscript"/>
        </w:rPr>
        <w:t>(TZIELD® SmPC)</w:t>
      </w:r>
      <w:r w:rsidRPr="00E42614">
        <w:rPr>
          <w:rFonts w:ascii="Poppins" w:hAnsi="Poppins" w:cs="Poppins"/>
          <w:spacing w:val="-2"/>
        </w:rPr>
        <w:fldChar w:fldCharType="end"/>
      </w:r>
    </w:p>
    <w:tbl>
      <w:tblPr>
        <w:tblW w:w="8504" w:type="dxa"/>
        <w:tblCellSpacing w:w="15" w:type="dxa"/>
        <w:tblBorders>
          <w:insideH w:val="single" w:sz="8" w:space="0" w:color="FFFFFF" w:themeColor="background1"/>
          <w:insideV w:val="single" w:sz="8" w:space="0" w:color="FFFFFF" w:themeColor="background1"/>
        </w:tblBorders>
        <w:tblCellMar>
          <w:top w:w="15" w:type="dxa"/>
          <w:left w:w="15" w:type="dxa"/>
          <w:bottom w:w="15" w:type="dxa"/>
          <w:right w:w="15" w:type="dxa"/>
        </w:tblCellMar>
        <w:tblLook w:val="04A0" w:firstRow="1" w:lastRow="0" w:firstColumn="1" w:lastColumn="0" w:noHBand="0" w:noVBand="1"/>
      </w:tblPr>
      <w:tblGrid>
        <w:gridCol w:w="4252"/>
        <w:gridCol w:w="4252"/>
      </w:tblGrid>
      <w:tr w:rsidR="00A71458" w:rsidRPr="00E42614" w14:paraId="53283103" w14:textId="77777777" w:rsidTr="00E66AA6">
        <w:trPr>
          <w:trHeight w:val="340"/>
          <w:tblCellSpacing w:w="15" w:type="dxa"/>
        </w:trPr>
        <w:tc>
          <w:tcPr>
            <w:tcW w:w="4207" w:type="dxa"/>
            <w:shd w:val="clear" w:color="auto" w:fill="9FD8FF"/>
            <w:vAlign w:val="center"/>
            <w:hideMark/>
          </w:tcPr>
          <w:p w14:paraId="57D842E3" w14:textId="77777777" w:rsidR="00A71458" w:rsidRPr="00974651" w:rsidRDefault="00A71458" w:rsidP="00F45610">
            <w:pPr>
              <w:spacing w:before="120" w:after="120" w:line="240" w:lineRule="auto"/>
              <w:jc w:val="center"/>
              <w:rPr>
                <w:rFonts w:ascii="Poppins" w:eastAsia="Times New Roman" w:hAnsi="Poppins" w:cs="Poppins"/>
                <w:b/>
                <w:bCs/>
                <w:color w:val="0023C8"/>
                <w:sz w:val="20"/>
                <w:szCs w:val="20"/>
                <w:lang w:eastAsia="en-GB"/>
              </w:rPr>
            </w:pPr>
            <w:r w:rsidRPr="00974651">
              <w:rPr>
                <w:rFonts w:ascii="Poppins" w:eastAsia="Times New Roman" w:hAnsi="Poppins" w:cs="Poppins"/>
                <w:b/>
                <w:bCs/>
                <w:color w:val="0023C8"/>
                <w:sz w:val="20"/>
                <w:szCs w:val="20"/>
                <w:lang w:eastAsia="en-GB"/>
              </w:rPr>
              <w:t>Day</w:t>
            </w:r>
          </w:p>
        </w:tc>
        <w:tc>
          <w:tcPr>
            <w:tcW w:w="4207" w:type="dxa"/>
            <w:shd w:val="clear" w:color="auto" w:fill="9FD8FF"/>
            <w:vAlign w:val="center"/>
            <w:hideMark/>
          </w:tcPr>
          <w:p w14:paraId="1E8AF00F" w14:textId="77777777" w:rsidR="00A71458" w:rsidRPr="00974651" w:rsidRDefault="00A71458" w:rsidP="00F45610">
            <w:pPr>
              <w:spacing w:before="120" w:after="120" w:line="240" w:lineRule="auto"/>
              <w:jc w:val="center"/>
              <w:rPr>
                <w:rFonts w:ascii="Poppins" w:eastAsia="Times New Roman" w:hAnsi="Poppins" w:cs="Poppins"/>
                <w:b/>
                <w:bCs/>
                <w:color w:val="0023C8"/>
                <w:sz w:val="20"/>
                <w:szCs w:val="20"/>
                <w:lang w:eastAsia="en-GB"/>
              </w:rPr>
            </w:pPr>
            <w:r w:rsidRPr="00974651">
              <w:rPr>
                <w:rFonts w:ascii="Poppins" w:eastAsia="Times New Roman" w:hAnsi="Poppins" w:cs="Poppins"/>
                <w:b/>
                <w:bCs/>
                <w:color w:val="0023C8"/>
                <w:sz w:val="20"/>
                <w:szCs w:val="20"/>
                <w:lang w:eastAsia="en-GB"/>
              </w:rPr>
              <w:t>Dose</w:t>
            </w:r>
          </w:p>
        </w:tc>
      </w:tr>
      <w:tr w:rsidR="00A71458" w:rsidRPr="00E42614" w14:paraId="22A0F85A" w14:textId="77777777" w:rsidTr="00E66AA6">
        <w:trPr>
          <w:trHeight w:val="340"/>
          <w:tblCellSpacing w:w="15" w:type="dxa"/>
        </w:trPr>
        <w:tc>
          <w:tcPr>
            <w:tcW w:w="4207" w:type="dxa"/>
            <w:shd w:val="clear" w:color="auto" w:fill="F2F2F2" w:themeFill="background1" w:themeFillShade="F2"/>
            <w:vAlign w:val="center"/>
            <w:hideMark/>
          </w:tcPr>
          <w:p w14:paraId="47ED1775"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1</w:t>
            </w:r>
          </w:p>
        </w:tc>
        <w:tc>
          <w:tcPr>
            <w:tcW w:w="4207" w:type="dxa"/>
            <w:shd w:val="clear" w:color="auto" w:fill="F2F2F2" w:themeFill="background1" w:themeFillShade="F2"/>
            <w:vAlign w:val="center"/>
            <w:hideMark/>
          </w:tcPr>
          <w:p w14:paraId="6DA9B566"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65 mcg/m²</w:t>
            </w:r>
          </w:p>
        </w:tc>
      </w:tr>
      <w:tr w:rsidR="00A71458" w:rsidRPr="00E42614" w14:paraId="4B7D1E6D" w14:textId="77777777" w:rsidTr="00E66AA6">
        <w:trPr>
          <w:trHeight w:val="340"/>
          <w:tblCellSpacing w:w="15" w:type="dxa"/>
        </w:trPr>
        <w:tc>
          <w:tcPr>
            <w:tcW w:w="4207" w:type="dxa"/>
            <w:shd w:val="clear" w:color="auto" w:fill="F2F2F2" w:themeFill="background1" w:themeFillShade="F2"/>
            <w:vAlign w:val="center"/>
            <w:hideMark/>
          </w:tcPr>
          <w:p w14:paraId="1464568F"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2</w:t>
            </w:r>
          </w:p>
        </w:tc>
        <w:tc>
          <w:tcPr>
            <w:tcW w:w="4207" w:type="dxa"/>
            <w:shd w:val="clear" w:color="auto" w:fill="F2F2F2" w:themeFill="background1" w:themeFillShade="F2"/>
            <w:vAlign w:val="center"/>
            <w:hideMark/>
          </w:tcPr>
          <w:p w14:paraId="685978D3"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125 mcg/m²</w:t>
            </w:r>
          </w:p>
        </w:tc>
      </w:tr>
      <w:tr w:rsidR="00A71458" w:rsidRPr="00E42614" w14:paraId="69CD43C6" w14:textId="77777777" w:rsidTr="00E66AA6">
        <w:trPr>
          <w:trHeight w:val="340"/>
          <w:tblCellSpacing w:w="15" w:type="dxa"/>
        </w:trPr>
        <w:tc>
          <w:tcPr>
            <w:tcW w:w="4207" w:type="dxa"/>
            <w:shd w:val="clear" w:color="auto" w:fill="F2F2F2" w:themeFill="background1" w:themeFillShade="F2"/>
            <w:vAlign w:val="center"/>
            <w:hideMark/>
          </w:tcPr>
          <w:p w14:paraId="1A052B65"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3</w:t>
            </w:r>
          </w:p>
        </w:tc>
        <w:tc>
          <w:tcPr>
            <w:tcW w:w="4207" w:type="dxa"/>
            <w:shd w:val="clear" w:color="auto" w:fill="F2F2F2" w:themeFill="background1" w:themeFillShade="F2"/>
            <w:vAlign w:val="center"/>
            <w:hideMark/>
          </w:tcPr>
          <w:p w14:paraId="535E7577"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250 mcg/m²</w:t>
            </w:r>
          </w:p>
        </w:tc>
      </w:tr>
      <w:tr w:rsidR="00A71458" w:rsidRPr="00E42614" w14:paraId="0EF9A149" w14:textId="77777777" w:rsidTr="00E66AA6">
        <w:trPr>
          <w:trHeight w:val="340"/>
          <w:tblCellSpacing w:w="15" w:type="dxa"/>
        </w:trPr>
        <w:tc>
          <w:tcPr>
            <w:tcW w:w="4207" w:type="dxa"/>
            <w:shd w:val="clear" w:color="auto" w:fill="F2F2F2" w:themeFill="background1" w:themeFillShade="F2"/>
            <w:vAlign w:val="center"/>
            <w:hideMark/>
          </w:tcPr>
          <w:p w14:paraId="02ADF234"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4</w:t>
            </w:r>
          </w:p>
        </w:tc>
        <w:tc>
          <w:tcPr>
            <w:tcW w:w="4207" w:type="dxa"/>
            <w:shd w:val="clear" w:color="auto" w:fill="F2F2F2" w:themeFill="background1" w:themeFillShade="F2"/>
            <w:vAlign w:val="center"/>
            <w:hideMark/>
          </w:tcPr>
          <w:p w14:paraId="66315E40"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500 mcg/m²</w:t>
            </w:r>
          </w:p>
        </w:tc>
      </w:tr>
      <w:tr w:rsidR="00A71458" w:rsidRPr="00E42614" w14:paraId="3A07BF0F" w14:textId="77777777" w:rsidTr="00E66AA6">
        <w:trPr>
          <w:trHeight w:val="340"/>
          <w:tblCellSpacing w:w="15" w:type="dxa"/>
        </w:trPr>
        <w:tc>
          <w:tcPr>
            <w:tcW w:w="4207" w:type="dxa"/>
            <w:shd w:val="clear" w:color="auto" w:fill="F2F2F2" w:themeFill="background1" w:themeFillShade="F2"/>
            <w:vAlign w:val="center"/>
            <w:hideMark/>
          </w:tcPr>
          <w:p w14:paraId="19AD2472"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Days 5–14</w:t>
            </w:r>
          </w:p>
        </w:tc>
        <w:tc>
          <w:tcPr>
            <w:tcW w:w="4207" w:type="dxa"/>
            <w:shd w:val="clear" w:color="auto" w:fill="F2F2F2" w:themeFill="background1" w:themeFillShade="F2"/>
            <w:vAlign w:val="center"/>
            <w:hideMark/>
          </w:tcPr>
          <w:p w14:paraId="225BE25D"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1030 mcg/m²</w:t>
            </w:r>
          </w:p>
        </w:tc>
      </w:tr>
    </w:tbl>
    <w:p w14:paraId="57B07639" w14:textId="2BDEB711" w:rsidR="009D49C0" w:rsidRPr="00E42614" w:rsidRDefault="009D49C0"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Infusion </w:t>
      </w:r>
      <w:r w:rsidR="00AE75AD" w:rsidRPr="00E42614">
        <w:rPr>
          <w:rFonts w:ascii="Poppins" w:eastAsia="Times New Roman" w:hAnsi="Poppins" w:cs="Poppins"/>
          <w:b/>
          <w:bCs/>
          <w:lang w:eastAsia="en-GB"/>
        </w:rPr>
        <w:t>l</w:t>
      </w:r>
      <w:r w:rsidRPr="00E42614">
        <w:rPr>
          <w:rFonts w:ascii="Poppins" w:eastAsia="Times New Roman" w:hAnsi="Poppins" w:cs="Poppins"/>
          <w:b/>
          <w:bCs/>
          <w:lang w:eastAsia="en-GB"/>
        </w:rPr>
        <w:t>ocation</w:t>
      </w:r>
    </w:p>
    <w:p w14:paraId="1D2F9CF8" w14:textId="148C6753" w:rsidR="00867435" w:rsidRDefault="00321002"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As agreed locall</w:t>
      </w:r>
      <w:r w:rsidR="006F45E3" w:rsidRPr="00E42614">
        <w:rPr>
          <w:rFonts w:ascii="Poppins" w:eastAsia="Times New Roman" w:hAnsi="Poppins" w:cs="Poppins"/>
          <w:sz w:val="21"/>
          <w:szCs w:val="21"/>
          <w:lang w:eastAsia="en-GB"/>
        </w:rPr>
        <w:t>y</w:t>
      </w:r>
      <w:r w:rsidRPr="00E42614">
        <w:rPr>
          <w:rFonts w:ascii="Poppins" w:eastAsia="Times New Roman" w:hAnsi="Poppins" w:cs="Poppins"/>
          <w:sz w:val="21"/>
          <w:szCs w:val="21"/>
          <w:lang w:eastAsia="en-GB"/>
        </w:rPr>
        <w:t xml:space="preserve">. </w:t>
      </w:r>
      <w:r w:rsidR="00867435">
        <w:rPr>
          <w:rFonts w:ascii="Poppins" w:eastAsia="Times New Roman" w:hAnsi="Poppins" w:cs="Poppins"/>
          <w:sz w:val="21"/>
          <w:szCs w:val="21"/>
          <w:lang w:eastAsia="en-GB"/>
        </w:rPr>
        <w:t>Treatment should be delivered in a clinical area with:</w:t>
      </w:r>
    </w:p>
    <w:p w14:paraId="56E37FFD" w14:textId="695F885C"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Trained nursing staff</w:t>
      </w:r>
    </w:p>
    <w:p w14:paraId="24AA6C24" w14:textId="1C5798CA"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Access to medical review</w:t>
      </w:r>
    </w:p>
    <w:p w14:paraId="32B16A64" w14:textId="672BC0B2"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Bility to monitor observations before, during and after infusion</w:t>
      </w:r>
    </w:p>
    <w:p w14:paraId="491D7171" w14:textId="4E006DA7"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Immediate access to anaphylaxis treatment</w:t>
      </w:r>
    </w:p>
    <w:p w14:paraId="7830AA8F" w14:textId="513536C1"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Access to IV fluids and urgent blood tests</w:t>
      </w:r>
    </w:p>
    <w:p w14:paraId="051B7878" w14:textId="2FE3EEA7"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Escalation pathway to high dependency / PICU</w:t>
      </w:r>
    </w:p>
    <w:p w14:paraId="2498B421" w14:textId="15EBC525"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Access to haematology, immunology, microbiology / virology and pharmacy advice</w:t>
      </w:r>
    </w:p>
    <w:p w14:paraId="76E13EA9" w14:textId="1C070A1B" w:rsidR="00867435" w:rsidRP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Clear weekend and out-of-hours plan</w:t>
      </w:r>
    </w:p>
    <w:p w14:paraId="0DF323DF" w14:textId="46A584C6" w:rsidR="00321002" w:rsidRPr="00E42614" w:rsidRDefault="00AD405E" w:rsidP="00714E12">
      <w:pPr>
        <w:spacing w:before="24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sz w:val="21"/>
          <w:szCs w:val="21"/>
          <w:lang w:eastAsia="en-GB"/>
        </w:rPr>
        <w:lastRenderedPageBreak/>
        <w:t>Examples include</w:t>
      </w:r>
      <w:r w:rsidR="00321002" w:rsidRPr="00E42614">
        <w:rPr>
          <w:rFonts w:ascii="Poppins" w:eastAsia="Times New Roman" w:hAnsi="Poppins" w:cs="Poppins"/>
          <w:sz w:val="21"/>
          <w:szCs w:val="21"/>
          <w:lang w:eastAsia="en-GB"/>
        </w:rPr>
        <w:t xml:space="preserve"> the following</w:t>
      </w:r>
      <w:r w:rsidR="00C6012B" w:rsidRPr="00E42614">
        <w:rPr>
          <w:rFonts w:ascii="Poppins" w:eastAsia="Times New Roman" w:hAnsi="Poppins" w:cs="Poppins"/>
          <w:sz w:val="21"/>
          <w:szCs w:val="21"/>
          <w:lang w:eastAsia="en-GB"/>
        </w:rPr>
        <w:t xml:space="preserve">: </w:t>
      </w:r>
      <w:r w:rsidR="00C6012B" w:rsidRPr="00E42614">
        <w:rPr>
          <w:rFonts w:ascii="Poppins" w:eastAsia="Times New Roman" w:hAnsi="Poppins" w:cs="Poppins"/>
          <w:bCs/>
          <w:i/>
          <w:iCs/>
          <w:color w:val="808080" w:themeColor="background1" w:themeShade="80"/>
          <w:sz w:val="20"/>
          <w:szCs w:val="20"/>
        </w:rPr>
        <w:t>&lt;Insert agreed infusion locations for the Trust&gt;</w:t>
      </w:r>
    </w:p>
    <w:p w14:paraId="27B44984" w14:textId="7E2D8426" w:rsidR="009D49C0" w:rsidRPr="00E42614" w:rsidRDefault="00597078" w:rsidP="00D87B2C">
      <w:pPr>
        <w:numPr>
          <w:ilvl w:val="0"/>
          <w:numId w:val="20"/>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w:t>
      </w:r>
      <w:r w:rsidR="009D49C0" w:rsidRPr="00E42614">
        <w:rPr>
          <w:rFonts w:ascii="Poppins" w:eastAsia="Times New Roman" w:hAnsi="Poppins" w:cs="Poppins"/>
          <w:sz w:val="21"/>
          <w:szCs w:val="21"/>
          <w:lang w:eastAsia="en-GB"/>
        </w:rPr>
        <w:t>nfusion centre</w:t>
      </w:r>
    </w:p>
    <w:p w14:paraId="4A751A81" w14:textId="77777777" w:rsidR="009D49C0" w:rsidRPr="00E42614" w:rsidRDefault="009D49C0" w:rsidP="00D87B2C">
      <w:pPr>
        <w:numPr>
          <w:ilvl w:val="0"/>
          <w:numId w:val="20"/>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Day </w:t>
      </w:r>
      <w:proofErr w:type="spellStart"/>
      <w:r w:rsidRPr="00E42614">
        <w:rPr>
          <w:rFonts w:ascii="Poppins" w:eastAsia="Times New Roman" w:hAnsi="Poppins" w:cs="Poppins"/>
          <w:sz w:val="21"/>
          <w:szCs w:val="21"/>
          <w:lang w:eastAsia="en-GB"/>
        </w:rPr>
        <w:t>case</w:t>
      </w:r>
      <w:proofErr w:type="spellEnd"/>
      <w:r w:rsidRPr="00E42614">
        <w:rPr>
          <w:rFonts w:ascii="Poppins" w:eastAsia="Times New Roman" w:hAnsi="Poppins" w:cs="Poppins"/>
          <w:sz w:val="21"/>
          <w:szCs w:val="21"/>
          <w:lang w:eastAsia="en-GB"/>
        </w:rPr>
        <w:t xml:space="preserve"> unit</w:t>
      </w:r>
    </w:p>
    <w:p w14:paraId="7C4DC10A" w14:textId="738318B5" w:rsidR="00AD405E" w:rsidRDefault="009D49C0" w:rsidP="00D87B2C">
      <w:pPr>
        <w:numPr>
          <w:ilvl w:val="0"/>
          <w:numId w:val="20"/>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Specialist paediatric infusion service</w:t>
      </w:r>
    </w:p>
    <w:p w14:paraId="53BD5145" w14:textId="2143385E" w:rsidR="00867435" w:rsidRPr="00867435" w:rsidRDefault="00867435" w:rsidP="00714E12">
      <w:pPr>
        <w:spacing w:before="240" w:after="120" w:line="240" w:lineRule="auto"/>
        <w:rPr>
          <w:rFonts w:ascii="Poppins" w:eastAsia="Times New Roman" w:hAnsi="Poppins" w:cs="Poppins"/>
          <w:sz w:val="21"/>
          <w:szCs w:val="21"/>
          <w:lang w:eastAsia="en-GB"/>
        </w:rPr>
      </w:pPr>
      <w:r w:rsidRPr="00867435">
        <w:rPr>
          <w:rFonts w:ascii="Poppins" w:eastAsia="Times New Roman" w:hAnsi="Poppins" w:cs="Poppins"/>
          <w:sz w:val="21"/>
          <w:szCs w:val="21"/>
          <w:lang w:eastAsia="en-GB"/>
        </w:rPr>
        <w:t>Home infusion should be avoided in the first week of dose escalation because adverse events are most likely during this period</w: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 </w:instrTex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EN.CITE.DATA </w:instrText>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separate"/>
      </w:r>
      <w:r w:rsidRPr="00867435">
        <w:rPr>
          <w:rFonts w:ascii="Poppins" w:eastAsia="Times New Roman" w:hAnsi="Poppins" w:cs="Poppins"/>
          <w:noProof/>
          <w:sz w:val="21"/>
          <w:szCs w:val="21"/>
          <w:vertAlign w:val="superscript"/>
          <w:lang w:eastAsia="en-GB"/>
        </w:rPr>
        <w:t>(Dias, 2026)</w:t>
      </w:r>
      <w:r>
        <w:rPr>
          <w:rFonts w:ascii="Poppins" w:eastAsia="Times New Roman" w:hAnsi="Poppins" w:cs="Poppins"/>
          <w:sz w:val="21"/>
          <w:szCs w:val="21"/>
          <w:lang w:eastAsia="en-GB"/>
        </w:rPr>
        <w:fldChar w:fldCharType="end"/>
      </w:r>
      <w:r w:rsidRPr="00867435">
        <w:rPr>
          <w:rFonts w:ascii="Poppins" w:eastAsia="Times New Roman" w:hAnsi="Poppins" w:cs="Poppins"/>
          <w:sz w:val="21"/>
          <w:szCs w:val="21"/>
          <w:lang w:eastAsia="en-GB"/>
        </w:rPr>
        <w:t>, although this may be subject to change.</w:t>
      </w:r>
    </w:p>
    <w:p w14:paraId="4DFA6D29" w14:textId="644807BE" w:rsidR="00582784" w:rsidRPr="00E42614" w:rsidRDefault="009D49C0" w:rsidP="00714E12">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Pre-</w:t>
      </w:r>
      <w:r w:rsidR="00582784" w:rsidRPr="00E42614">
        <w:rPr>
          <w:rFonts w:ascii="Poppins" w:eastAsia="Times New Roman" w:hAnsi="Poppins" w:cs="Poppins"/>
          <w:b/>
          <w:bCs/>
          <w:lang w:eastAsia="en-GB"/>
        </w:rPr>
        <w:t>i</w:t>
      </w:r>
      <w:r w:rsidRPr="00E42614">
        <w:rPr>
          <w:rFonts w:ascii="Poppins" w:eastAsia="Times New Roman" w:hAnsi="Poppins" w:cs="Poppins"/>
          <w:b/>
          <w:bCs/>
          <w:lang w:eastAsia="en-GB"/>
        </w:rPr>
        <w:t xml:space="preserve">nfusion </w:t>
      </w:r>
      <w:r w:rsidR="00582784" w:rsidRPr="00E42614">
        <w:rPr>
          <w:rFonts w:ascii="Poppins" w:eastAsia="Times New Roman" w:hAnsi="Poppins" w:cs="Poppins"/>
          <w:b/>
          <w:bCs/>
          <w:lang w:eastAsia="en-GB"/>
        </w:rPr>
        <w:t>c</w:t>
      </w:r>
      <w:r w:rsidRPr="00E42614">
        <w:rPr>
          <w:rFonts w:ascii="Poppins" w:eastAsia="Times New Roman" w:hAnsi="Poppins" w:cs="Poppins"/>
          <w:b/>
          <w:bCs/>
          <w:lang w:eastAsia="en-GB"/>
        </w:rPr>
        <w:t>hecks</w:t>
      </w:r>
      <w:r w:rsidR="00C036CD" w:rsidRPr="00E42614">
        <w:rPr>
          <w:rFonts w:ascii="Poppins" w:eastAsia="Times New Roman" w:hAnsi="Poppins" w:cs="Poppins"/>
          <w:b/>
          <w:bCs/>
          <w:lang w:eastAsia="en-GB"/>
        </w:rPr>
        <w:t xml:space="preserve"> </w:t>
      </w:r>
    </w:p>
    <w:p w14:paraId="0CCD0B32" w14:textId="5CAC62AA" w:rsidR="009D49C0" w:rsidRPr="00E42614" w:rsidRDefault="00C036C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&lt;Insert any additional pre-infusion checks as per Trust protocols&gt;</w:t>
      </w:r>
    </w:p>
    <w:p w14:paraId="31333450" w14:textId="77777777"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Confirm:</w:t>
      </w:r>
    </w:p>
    <w:p w14:paraId="146AAEEA" w14:textId="629EF3D7" w:rsidR="009D49C0" w:rsidRPr="00E42614" w:rsidRDefault="00C6012B"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Patient i</w:t>
      </w:r>
      <w:r w:rsidR="009D49C0" w:rsidRPr="00E42614">
        <w:rPr>
          <w:rFonts w:ascii="Poppins" w:eastAsia="Times New Roman" w:hAnsi="Poppins" w:cs="Poppins"/>
          <w:sz w:val="21"/>
          <w:szCs w:val="21"/>
          <w:lang w:eastAsia="en-GB"/>
        </w:rPr>
        <w:t>dentity</w:t>
      </w:r>
    </w:p>
    <w:p w14:paraId="5BC51648" w14:textId="026F8158" w:rsidR="009D49C0" w:rsidRPr="00E42614" w:rsidRDefault="009D49C0"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Consent</w:t>
      </w:r>
      <w:r w:rsidR="00C6012B" w:rsidRPr="00E42614">
        <w:rPr>
          <w:rFonts w:ascii="Poppins" w:eastAsia="Times New Roman" w:hAnsi="Poppins" w:cs="Poppins"/>
          <w:sz w:val="21"/>
          <w:szCs w:val="21"/>
          <w:lang w:eastAsia="en-GB"/>
        </w:rPr>
        <w:t xml:space="preserve"> for treatment</w:t>
      </w:r>
    </w:p>
    <w:p w14:paraId="32F4A8BD" w14:textId="61981D4E" w:rsidR="009D49C0" w:rsidRPr="00E42614" w:rsidRDefault="00C6012B"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Baseline o</w:t>
      </w:r>
      <w:r w:rsidR="009D49C0" w:rsidRPr="00E42614">
        <w:rPr>
          <w:rFonts w:ascii="Poppins" w:eastAsia="Times New Roman" w:hAnsi="Poppins" w:cs="Poppins"/>
          <w:sz w:val="21"/>
          <w:szCs w:val="21"/>
          <w:lang w:eastAsia="en-GB"/>
        </w:rPr>
        <w:t>bservations</w:t>
      </w:r>
      <w:r w:rsidR="00C036CD" w:rsidRPr="00E42614">
        <w:rPr>
          <w:rFonts w:ascii="Poppins" w:eastAsia="Times New Roman" w:hAnsi="Poppins" w:cs="Poppins"/>
          <w:sz w:val="21"/>
          <w:szCs w:val="21"/>
          <w:lang w:eastAsia="en-GB"/>
        </w:rPr>
        <w:t xml:space="preserve"> performed</w:t>
      </w:r>
    </w:p>
    <w:p w14:paraId="5AADE7D7" w14:textId="4DFC4015" w:rsidR="0087339F" w:rsidRPr="00E42614" w:rsidRDefault="0087339F"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Negative pregnancy test (females of reproductive age)</w:t>
      </w:r>
    </w:p>
    <w:p w14:paraId="4DFCA51B" w14:textId="039354C8" w:rsidR="00D628C6" w:rsidRDefault="00D628C6"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Suitable IV access in place</w:t>
      </w:r>
    </w:p>
    <w:p w14:paraId="6EFA39AB" w14:textId="36C3E4F8" w:rsidR="009D49C0" w:rsidRPr="00E42614" w:rsidRDefault="009D49C0" w:rsidP="00016158">
      <w:pPr>
        <w:numPr>
          <w:ilvl w:val="0"/>
          <w:numId w:val="21"/>
        </w:numPr>
        <w:spacing w:before="60" w:after="24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Blood results</w:t>
      </w:r>
      <w:r w:rsidR="008E3970" w:rsidRPr="00E42614">
        <w:rPr>
          <w:rFonts w:ascii="Poppins" w:eastAsia="Times New Roman" w:hAnsi="Poppins" w:cs="Poppins"/>
          <w:sz w:val="21"/>
          <w:szCs w:val="21"/>
          <w:lang w:eastAsia="en-GB"/>
        </w:rPr>
        <w:t>:</w:t>
      </w:r>
      <w:r w:rsidR="00C036CD" w:rsidRPr="00E42614">
        <w:rPr>
          <w:rFonts w:ascii="Poppins" w:hAnsi="Poppins" w:cs="Poppins"/>
          <w:spacing w:val="-2"/>
        </w:rPr>
        <w:t xml:space="preserve"> </w:t>
      </w:r>
      <w:r w:rsidR="00C036CD"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C036CD" w:rsidRPr="00E42614">
        <w:rPr>
          <w:rFonts w:ascii="Poppins" w:hAnsi="Poppins" w:cs="Poppins"/>
          <w:spacing w:val="-2"/>
        </w:rPr>
        <w:fldChar w:fldCharType="separate"/>
      </w:r>
      <w:r w:rsidR="00C036CD" w:rsidRPr="00E42614">
        <w:rPr>
          <w:rFonts w:ascii="Poppins" w:hAnsi="Poppins" w:cs="Poppins"/>
          <w:noProof/>
          <w:spacing w:val="-2"/>
          <w:vertAlign w:val="superscript"/>
        </w:rPr>
        <w:t>(TZIELD® SmPC)</w:t>
      </w:r>
      <w:r w:rsidR="00C036CD" w:rsidRPr="00E42614">
        <w:rPr>
          <w:rFonts w:ascii="Poppins" w:hAnsi="Poppins" w:cs="Poppins"/>
          <w:spacing w:val="-2"/>
        </w:rPr>
        <w:fldChar w:fldCharType="end"/>
      </w:r>
    </w:p>
    <w:tbl>
      <w:tblPr>
        <w:tblStyle w:val="TableGrid"/>
        <w:tblW w:w="8504" w:type="dxa"/>
        <w:tblInd w:w="-5"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8E3970" w:rsidRPr="00E42614" w14:paraId="437B183B" w14:textId="77777777" w:rsidTr="00E66AA6">
        <w:tc>
          <w:tcPr>
            <w:tcW w:w="4252" w:type="dxa"/>
            <w:shd w:val="clear" w:color="auto" w:fill="9FD8FF"/>
            <w:vAlign w:val="center"/>
          </w:tcPr>
          <w:p w14:paraId="7FD1A71E" w14:textId="3842EFE9" w:rsidR="008E3970" w:rsidRPr="00F45610" w:rsidRDefault="008E3970" w:rsidP="00F45610">
            <w:pPr>
              <w:spacing w:before="120" w:after="120"/>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Test result</w:t>
            </w:r>
          </w:p>
        </w:tc>
        <w:tc>
          <w:tcPr>
            <w:tcW w:w="4252" w:type="dxa"/>
            <w:shd w:val="clear" w:color="auto" w:fill="9FD8FF"/>
            <w:vAlign w:val="center"/>
          </w:tcPr>
          <w:p w14:paraId="2905181F" w14:textId="2B488BD6" w:rsidR="008E3970" w:rsidRPr="00F45610" w:rsidRDefault="008E3970" w:rsidP="00F45610">
            <w:pPr>
              <w:spacing w:before="120" w:after="120"/>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Requirement for infusion</w:t>
            </w:r>
          </w:p>
        </w:tc>
      </w:tr>
      <w:tr w:rsidR="008E3970" w:rsidRPr="00E42614" w14:paraId="3E3E8B92" w14:textId="77777777" w:rsidTr="00E66AA6">
        <w:tc>
          <w:tcPr>
            <w:tcW w:w="4252" w:type="dxa"/>
            <w:shd w:val="clear" w:color="auto" w:fill="F2F2F2" w:themeFill="background1" w:themeFillShade="F2"/>
            <w:vAlign w:val="center"/>
          </w:tcPr>
          <w:p w14:paraId="645D6766" w14:textId="7919B2A8"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Hb</w:t>
            </w:r>
          </w:p>
        </w:tc>
        <w:tc>
          <w:tcPr>
            <w:tcW w:w="4252" w:type="dxa"/>
            <w:shd w:val="clear" w:color="auto" w:fill="F2F2F2" w:themeFill="background1" w:themeFillShade="F2"/>
            <w:vAlign w:val="center"/>
          </w:tcPr>
          <w:p w14:paraId="6E549755" w14:textId="2C1D352A"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&gt;100g/L</w:t>
            </w:r>
          </w:p>
        </w:tc>
      </w:tr>
      <w:tr w:rsidR="008E3970" w:rsidRPr="00E42614" w14:paraId="22BD4A27" w14:textId="77777777" w:rsidTr="00E66AA6">
        <w:tc>
          <w:tcPr>
            <w:tcW w:w="4252" w:type="dxa"/>
            <w:shd w:val="clear" w:color="auto" w:fill="F2F2F2" w:themeFill="background1" w:themeFillShade="F2"/>
            <w:vAlign w:val="center"/>
          </w:tcPr>
          <w:p w14:paraId="007D24E7" w14:textId="05A24363"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Lymphocyte count</w:t>
            </w:r>
          </w:p>
        </w:tc>
        <w:tc>
          <w:tcPr>
            <w:tcW w:w="4252" w:type="dxa"/>
            <w:shd w:val="clear" w:color="auto" w:fill="F2F2F2" w:themeFill="background1" w:themeFillShade="F2"/>
            <w:vAlign w:val="center"/>
          </w:tcPr>
          <w:p w14:paraId="5BFD629F" w14:textId="5B251371"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w:t>
            </w:r>
            <w:r w:rsidR="00993F0A" w:rsidRPr="00F45610">
              <w:rPr>
                <w:rFonts w:ascii="Poppins" w:eastAsia="Times New Roman" w:hAnsi="Poppins" w:cs="Poppins"/>
                <w:sz w:val="18"/>
                <w:szCs w:val="18"/>
                <w:lang w:eastAsia="en-GB"/>
              </w:rPr>
              <w:t xml:space="preserve">1.0 x </w:t>
            </w:r>
            <w:r w:rsidRPr="00F45610">
              <w:rPr>
                <w:rFonts w:ascii="Poppins" w:eastAsia="Times New Roman" w:hAnsi="Poppins" w:cs="Poppins"/>
                <w:sz w:val="18"/>
                <w:szCs w:val="18"/>
                <w:lang w:eastAsia="en-GB"/>
              </w:rPr>
              <w:t>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lymphocytes/L</w:t>
            </w:r>
          </w:p>
        </w:tc>
      </w:tr>
      <w:tr w:rsidR="008E3970" w:rsidRPr="00E42614" w14:paraId="77F5E1C5" w14:textId="77777777" w:rsidTr="00E66AA6">
        <w:tc>
          <w:tcPr>
            <w:tcW w:w="4252" w:type="dxa"/>
            <w:shd w:val="clear" w:color="auto" w:fill="F2F2F2" w:themeFill="background1" w:themeFillShade="F2"/>
            <w:vAlign w:val="center"/>
          </w:tcPr>
          <w:p w14:paraId="52D277AF" w14:textId="08D9F1C8"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Platelet count</w:t>
            </w:r>
          </w:p>
        </w:tc>
        <w:tc>
          <w:tcPr>
            <w:tcW w:w="4252" w:type="dxa"/>
            <w:shd w:val="clear" w:color="auto" w:fill="F2F2F2" w:themeFill="background1" w:themeFillShade="F2"/>
            <w:vAlign w:val="center"/>
          </w:tcPr>
          <w:p w14:paraId="6F465348" w14:textId="23C57C04"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&gt;150 x 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platelets/L</w:t>
            </w:r>
          </w:p>
        </w:tc>
      </w:tr>
      <w:tr w:rsidR="008E3970" w:rsidRPr="00E42614" w14:paraId="51A6F1FB" w14:textId="77777777" w:rsidTr="00E66AA6">
        <w:tc>
          <w:tcPr>
            <w:tcW w:w="4252" w:type="dxa"/>
            <w:shd w:val="clear" w:color="auto" w:fill="F2F2F2" w:themeFill="background1" w:themeFillShade="F2"/>
            <w:vAlign w:val="center"/>
          </w:tcPr>
          <w:p w14:paraId="2EE34312" w14:textId="40550912"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Absolute neutrophil count</w:t>
            </w:r>
          </w:p>
        </w:tc>
        <w:tc>
          <w:tcPr>
            <w:tcW w:w="4252" w:type="dxa"/>
            <w:shd w:val="clear" w:color="auto" w:fill="F2F2F2" w:themeFill="background1" w:themeFillShade="F2"/>
            <w:vAlign w:val="center"/>
          </w:tcPr>
          <w:p w14:paraId="5F90D0CB" w14:textId="7994F238"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&gt;1.0 x 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neutrophils/L in those of African descent and</w:t>
            </w:r>
            <w:r w:rsidR="000F24BB" w:rsidRPr="00F45610">
              <w:rPr>
                <w:rFonts w:ascii="Poppins" w:eastAsia="Times New Roman" w:hAnsi="Poppins" w:cs="Poppins"/>
                <w:sz w:val="18"/>
                <w:szCs w:val="18"/>
                <w:lang w:eastAsia="en-GB"/>
              </w:rPr>
              <w:t xml:space="preserve"> </w:t>
            </w:r>
            <w:r w:rsidRPr="00F45610">
              <w:rPr>
                <w:rFonts w:ascii="Poppins" w:eastAsia="Times New Roman" w:hAnsi="Poppins" w:cs="Poppins"/>
                <w:sz w:val="18"/>
                <w:szCs w:val="18"/>
                <w:lang w:eastAsia="en-GB"/>
              </w:rPr>
              <w:t>&gt;1.5 x 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neutrophils/L in all other groups</w:t>
            </w:r>
          </w:p>
        </w:tc>
      </w:tr>
      <w:tr w:rsidR="008E3970" w:rsidRPr="00E42614" w14:paraId="39E95461" w14:textId="77777777" w:rsidTr="00E66AA6">
        <w:tc>
          <w:tcPr>
            <w:tcW w:w="4252" w:type="dxa"/>
            <w:shd w:val="clear" w:color="auto" w:fill="F2F2F2" w:themeFill="background1" w:themeFillShade="F2"/>
            <w:vAlign w:val="center"/>
          </w:tcPr>
          <w:p w14:paraId="0C9E1C27" w14:textId="1DC56093" w:rsidR="008E3970"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ALT or AST</w:t>
            </w:r>
          </w:p>
        </w:tc>
        <w:tc>
          <w:tcPr>
            <w:tcW w:w="4252" w:type="dxa"/>
            <w:shd w:val="clear" w:color="auto" w:fill="F2F2F2" w:themeFill="background1" w:themeFillShade="F2"/>
            <w:vAlign w:val="center"/>
          </w:tcPr>
          <w:p w14:paraId="28AAC236" w14:textId="05CF702E" w:rsidR="008E3970"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&lt;2</w:t>
            </w:r>
            <w:r w:rsidR="00582784" w:rsidRPr="00F45610">
              <w:rPr>
                <w:rFonts w:ascii="Poppins" w:eastAsia="Times New Roman" w:hAnsi="Poppins" w:cs="Poppins"/>
                <w:sz w:val="18"/>
                <w:szCs w:val="18"/>
                <w:lang w:eastAsia="en-GB"/>
              </w:rPr>
              <w:t xml:space="preserve"> x</w:t>
            </w:r>
            <w:r w:rsidRPr="00F45610">
              <w:rPr>
                <w:rFonts w:ascii="Poppins" w:eastAsia="Times New Roman" w:hAnsi="Poppins" w:cs="Poppins"/>
                <w:sz w:val="18"/>
                <w:szCs w:val="18"/>
                <w:lang w:eastAsia="en-GB"/>
              </w:rPr>
              <w:t xml:space="preserve"> ULN</w:t>
            </w:r>
          </w:p>
        </w:tc>
      </w:tr>
      <w:tr w:rsidR="00C036CD" w:rsidRPr="00E42614" w14:paraId="49CE74B4" w14:textId="77777777" w:rsidTr="00E66AA6">
        <w:tc>
          <w:tcPr>
            <w:tcW w:w="4252" w:type="dxa"/>
            <w:shd w:val="clear" w:color="auto" w:fill="F2F2F2" w:themeFill="background1" w:themeFillShade="F2"/>
            <w:vAlign w:val="center"/>
          </w:tcPr>
          <w:p w14:paraId="55B286AD" w14:textId="11B73796" w:rsidR="00C036CD"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Bilirubin</w:t>
            </w:r>
          </w:p>
        </w:tc>
        <w:tc>
          <w:tcPr>
            <w:tcW w:w="4252" w:type="dxa"/>
            <w:shd w:val="clear" w:color="auto" w:fill="F2F2F2" w:themeFill="background1" w:themeFillShade="F2"/>
            <w:vAlign w:val="center"/>
          </w:tcPr>
          <w:p w14:paraId="3CE57536" w14:textId="1FCE3868" w:rsidR="00C036CD"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&lt;1.5</w:t>
            </w:r>
            <w:r w:rsidR="00582784" w:rsidRPr="00F45610">
              <w:rPr>
                <w:rFonts w:ascii="Poppins" w:eastAsia="Times New Roman" w:hAnsi="Poppins" w:cs="Poppins"/>
                <w:sz w:val="18"/>
                <w:szCs w:val="18"/>
                <w:lang w:eastAsia="en-GB"/>
              </w:rPr>
              <w:t xml:space="preserve"> </w:t>
            </w:r>
            <w:r w:rsidRPr="00F45610">
              <w:rPr>
                <w:rFonts w:ascii="Poppins" w:eastAsia="Times New Roman" w:hAnsi="Poppins" w:cs="Poppins"/>
                <w:sz w:val="18"/>
                <w:szCs w:val="18"/>
                <w:lang w:eastAsia="en-GB"/>
              </w:rPr>
              <w:t>x ULN</w:t>
            </w:r>
          </w:p>
        </w:tc>
      </w:tr>
    </w:tbl>
    <w:p w14:paraId="40FD6EF1" w14:textId="1ED25743" w:rsidR="00D56022" w:rsidRDefault="009D49C0" w:rsidP="00D56022">
      <w:pPr>
        <w:pStyle w:val="ListParagraph"/>
        <w:numPr>
          <w:ilvl w:val="0"/>
          <w:numId w:val="33"/>
        </w:numPr>
        <w:spacing w:before="240" w:after="12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Adverse events since previous infusion</w:t>
      </w:r>
      <w:r w:rsidR="00C6012B" w:rsidRPr="00714E12">
        <w:rPr>
          <w:rFonts w:ascii="Poppins" w:eastAsia="Times New Roman" w:hAnsi="Poppins" w:cs="Poppins"/>
          <w:sz w:val="21"/>
          <w:szCs w:val="21"/>
          <w:lang w:eastAsia="en-GB"/>
        </w:rPr>
        <w:t xml:space="preserve"> (unless first infusion)</w:t>
      </w:r>
    </w:p>
    <w:p w14:paraId="3B481FCB" w14:textId="77777777" w:rsidR="00D56022" w:rsidRDefault="00D56022" w:rsidP="00D56022">
      <w:pPr>
        <w:spacing w:before="240" w:after="120" w:line="240" w:lineRule="auto"/>
        <w:rPr>
          <w:rFonts w:ascii="Poppins" w:eastAsia="Times New Roman" w:hAnsi="Poppins" w:cs="Poppins"/>
          <w:sz w:val="21"/>
          <w:szCs w:val="21"/>
          <w:lang w:eastAsia="en-GB"/>
        </w:rPr>
      </w:pPr>
    </w:p>
    <w:p w14:paraId="2993F013" w14:textId="77777777" w:rsidR="00F45610" w:rsidRPr="00D56022" w:rsidRDefault="00F45610" w:rsidP="00D56022">
      <w:pPr>
        <w:spacing w:before="240" w:after="120" w:line="240" w:lineRule="auto"/>
        <w:rPr>
          <w:rFonts w:ascii="Poppins" w:eastAsia="Times New Roman" w:hAnsi="Poppins" w:cs="Poppins"/>
          <w:sz w:val="21"/>
          <w:szCs w:val="21"/>
          <w:lang w:eastAsia="en-GB"/>
        </w:rPr>
      </w:pPr>
    </w:p>
    <w:p w14:paraId="0A4EFE6C" w14:textId="77777777" w:rsidR="00FB3452" w:rsidRDefault="00FB3452" w:rsidP="00974651">
      <w:pPr>
        <w:spacing w:before="120" w:after="120" w:line="240" w:lineRule="auto"/>
        <w:rPr>
          <w:rFonts w:ascii="Poppins" w:eastAsia="Times New Roman" w:hAnsi="Poppins" w:cs="Poppins"/>
          <w:b/>
          <w:bCs/>
          <w:lang w:eastAsia="en-GB"/>
        </w:rPr>
      </w:pPr>
    </w:p>
    <w:p w14:paraId="4593DB39" w14:textId="7D5D95F6" w:rsidR="00487F85" w:rsidRPr="00E42614" w:rsidRDefault="00C036C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
          <w:bCs/>
          <w:lang w:eastAsia="en-GB"/>
        </w:rPr>
        <w:lastRenderedPageBreak/>
        <w:t>Observations d</w:t>
      </w:r>
      <w:r w:rsidR="009D49C0" w:rsidRPr="00E42614">
        <w:rPr>
          <w:rFonts w:ascii="Poppins" w:eastAsia="Times New Roman" w:hAnsi="Poppins" w:cs="Poppins"/>
          <w:b/>
          <w:bCs/>
          <w:lang w:eastAsia="en-GB"/>
        </w:rPr>
        <w:t xml:space="preserve">uring </w:t>
      </w:r>
      <w:r w:rsidR="00487F85" w:rsidRPr="00E42614">
        <w:rPr>
          <w:rFonts w:ascii="Poppins" w:eastAsia="Times New Roman" w:hAnsi="Poppins" w:cs="Poppins"/>
          <w:b/>
          <w:bCs/>
          <w:lang w:eastAsia="en-GB"/>
        </w:rPr>
        <w:t>i</w:t>
      </w:r>
      <w:r w:rsidR="009D49C0" w:rsidRPr="00E42614">
        <w:rPr>
          <w:rFonts w:ascii="Poppins" w:eastAsia="Times New Roman" w:hAnsi="Poppins" w:cs="Poppins"/>
          <w:b/>
          <w:bCs/>
          <w:lang w:eastAsia="en-GB"/>
        </w:rPr>
        <w:t>nfusion</w:t>
      </w:r>
      <w:r w:rsidRPr="00E42614">
        <w:rPr>
          <w:rFonts w:ascii="Poppins" w:eastAsia="Times New Roman" w:hAnsi="Poppins" w:cs="Poppins"/>
          <w:b/>
          <w:bCs/>
          <w:lang w:eastAsia="en-GB"/>
        </w:rPr>
        <w:t xml:space="preserve"> </w:t>
      </w:r>
    </w:p>
    <w:p w14:paraId="1584CFE8" w14:textId="25BFAE71" w:rsidR="009D49C0" w:rsidRPr="00E42614" w:rsidRDefault="00C036C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&lt;Insert any additional observations required as per Trust protocols&gt;</w:t>
      </w:r>
    </w:p>
    <w:p w14:paraId="2328BFF7" w14:textId="77777777"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Monitor:</w:t>
      </w:r>
    </w:p>
    <w:p w14:paraId="6D59218C" w14:textId="77777777" w:rsidR="009D49C0" w:rsidRPr="00714E12"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Blood pressure</w:t>
      </w:r>
    </w:p>
    <w:p w14:paraId="0F68E841" w14:textId="77777777" w:rsidR="009D49C0" w:rsidRPr="00714E12"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Pulse</w:t>
      </w:r>
    </w:p>
    <w:p w14:paraId="46A2CAC6" w14:textId="77777777" w:rsidR="009D49C0" w:rsidRPr="00714E12"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Respiratory status</w:t>
      </w:r>
    </w:p>
    <w:p w14:paraId="496C08BE" w14:textId="7B614650" w:rsidR="00AD405E" w:rsidRPr="00714E12" w:rsidRDefault="00C036CD"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Signs/s</w:t>
      </w:r>
      <w:r w:rsidR="009D49C0" w:rsidRPr="00714E12">
        <w:rPr>
          <w:rFonts w:ascii="Poppins" w:eastAsia="Times New Roman" w:hAnsi="Poppins" w:cs="Poppins"/>
          <w:sz w:val="21"/>
          <w:szCs w:val="21"/>
          <w:lang w:eastAsia="en-GB"/>
        </w:rPr>
        <w:t>ymptoms of infusion reaction</w:t>
      </w:r>
    </w:p>
    <w:p w14:paraId="22507922" w14:textId="47CF5329" w:rsidR="009D49C0" w:rsidRPr="00E42614" w:rsidRDefault="009D49C0" w:rsidP="00714E12">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sz w:val="21"/>
          <w:szCs w:val="21"/>
          <w:lang w:eastAsia="en-GB"/>
        </w:rPr>
        <w:t>Post-</w:t>
      </w:r>
      <w:r w:rsidR="00582784" w:rsidRPr="00E42614">
        <w:rPr>
          <w:rFonts w:ascii="Poppins" w:eastAsia="Times New Roman" w:hAnsi="Poppins" w:cs="Poppins"/>
          <w:b/>
          <w:bCs/>
          <w:sz w:val="21"/>
          <w:szCs w:val="21"/>
          <w:lang w:eastAsia="en-GB"/>
        </w:rPr>
        <w:t>i</w:t>
      </w:r>
      <w:r w:rsidRPr="00E42614">
        <w:rPr>
          <w:rFonts w:ascii="Poppins" w:eastAsia="Times New Roman" w:hAnsi="Poppins" w:cs="Poppins"/>
          <w:b/>
          <w:bCs/>
          <w:sz w:val="21"/>
          <w:szCs w:val="21"/>
          <w:lang w:eastAsia="en-GB"/>
        </w:rPr>
        <w:t xml:space="preserve">nfusion </w:t>
      </w:r>
      <w:r w:rsidR="00582784" w:rsidRPr="00E42614">
        <w:rPr>
          <w:rFonts w:ascii="Poppins" w:eastAsia="Times New Roman" w:hAnsi="Poppins" w:cs="Poppins"/>
          <w:b/>
          <w:bCs/>
          <w:sz w:val="21"/>
          <w:szCs w:val="21"/>
          <w:lang w:eastAsia="en-GB"/>
        </w:rPr>
        <w:t>o</w:t>
      </w:r>
      <w:r w:rsidRPr="00E42614">
        <w:rPr>
          <w:rFonts w:ascii="Poppins" w:eastAsia="Times New Roman" w:hAnsi="Poppins" w:cs="Poppins"/>
          <w:b/>
          <w:bCs/>
          <w:sz w:val="21"/>
          <w:szCs w:val="21"/>
          <w:lang w:eastAsia="en-GB"/>
        </w:rPr>
        <w:t>bservation</w:t>
      </w:r>
    </w:p>
    <w:p w14:paraId="00EDB3BC" w14:textId="17030470" w:rsidR="00C036CD" w:rsidRPr="00E42614" w:rsidRDefault="009D49C0"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sz w:val="21"/>
          <w:szCs w:val="21"/>
          <w:lang w:eastAsia="en-GB"/>
        </w:rPr>
        <w:t xml:space="preserve">Observe according to </w:t>
      </w:r>
      <w:r w:rsidR="00C036CD" w:rsidRPr="00E42614">
        <w:rPr>
          <w:rFonts w:ascii="Poppins" w:eastAsia="Times New Roman" w:hAnsi="Poppins" w:cs="Poppins"/>
          <w:sz w:val="21"/>
          <w:szCs w:val="21"/>
          <w:lang w:eastAsia="en-GB"/>
        </w:rPr>
        <w:t>Trust</w:t>
      </w:r>
      <w:r w:rsidRPr="00E42614">
        <w:rPr>
          <w:rFonts w:ascii="Poppins" w:eastAsia="Times New Roman" w:hAnsi="Poppins" w:cs="Poppins"/>
          <w:sz w:val="21"/>
          <w:szCs w:val="21"/>
          <w:lang w:eastAsia="en-GB"/>
        </w:rPr>
        <w:t xml:space="preserve"> protocol</w:t>
      </w:r>
      <w:r w:rsidR="00582784" w:rsidRPr="00E42614">
        <w:rPr>
          <w:rFonts w:ascii="Poppins" w:eastAsia="Times New Roman" w:hAnsi="Poppins" w:cs="Poppins"/>
          <w:sz w:val="21"/>
          <w:szCs w:val="21"/>
          <w:lang w:eastAsia="en-GB"/>
        </w:rPr>
        <w:t>.</w:t>
      </w:r>
      <w:r w:rsidR="00C036CD" w:rsidRPr="00E42614">
        <w:rPr>
          <w:rFonts w:ascii="Poppins" w:eastAsia="Times New Roman" w:hAnsi="Poppins" w:cs="Poppins"/>
          <w:sz w:val="21"/>
          <w:szCs w:val="21"/>
          <w:lang w:eastAsia="en-GB"/>
        </w:rPr>
        <w:t xml:space="preserve"> </w:t>
      </w:r>
      <w:r w:rsidR="00C036CD" w:rsidRPr="00E42614">
        <w:rPr>
          <w:rFonts w:ascii="Poppins" w:eastAsia="Times New Roman" w:hAnsi="Poppins" w:cs="Poppins"/>
          <w:bCs/>
          <w:i/>
          <w:iCs/>
          <w:color w:val="808080" w:themeColor="background1" w:themeShade="80"/>
          <w:sz w:val="20"/>
          <w:szCs w:val="20"/>
        </w:rPr>
        <w:t>&lt;Insert details as per Trust protocol/s&gt;</w:t>
      </w:r>
    </w:p>
    <w:p w14:paraId="326C1BE5" w14:textId="62E516FD" w:rsidR="000F24BB" w:rsidRPr="00E42614" w:rsidRDefault="00CF6788"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Monitor patient for at least </w:t>
      </w:r>
      <w:r w:rsidR="00582784" w:rsidRPr="00E42614">
        <w:rPr>
          <w:rFonts w:ascii="Poppins" w:eastAsia="Times New Roman" w:hAnsi="Poppins" w:cs="Poppins"/>
          <w:sz w:val="21"/>
          <w:szCs w:val="21"/>
          <w:lang w:eastAsia="en-GB"/>
        </w:rPr>
        <w:t>1-hour</w:t>
      </w:r>
      <w:r w:rsidRPr="00E42614">
        <w:rPr>
          <w:rFonts w:ascii="Poppins" w:eastAsia="Times New Roman" w:hAnsi="Poppins" w:cs="Poppins"/>
          <w:sz w:val="21"/>
          <w:szCs w:val="21"/>
          <w:lang w:eastAsia="en-GB"/>
        </w:rPr>
        <w:t xml:space="preserve"> post-infusion</w:t>
      </w:r>
      <w:r w:rsidR="00580A2C" w:rsidRPr="00E42614">
        <w:rPr>
          <w:rFonts w:ascii="Poppins" w:eastAsia="Times New Roman" w:hAnsi="Poppins" w:cs="Poppins"/>
          <w:sz w:val="21"/>
          <w:szCs w:val="21"/>
          <w:lang w:eastAsia="en-GB"/>
        </w:rPr>
        <w:t xml:space="preserve"> of teplizumab</w:t>
      </w:r>
      <w:r w:rsidRPr="00E42614">
        <w:rPr>
          <w:rFonts w:ascii="Poppins" w:eastAsia="Times New Roman" w:hAnsi="Poppins" w:cs="Poppins"/>
          <w:sz w:val="21"/>
          <w:szCs w:val="21"/>
          <w:lang w:eastAsia="en-GB"/>
        </w:rPr>
        <w:t xml:space="preserve"> for adverse </w:t>
      </w:r>
      <w:r w:rsidR="008463ED" w:rsidRPr="00E42614">
        <w:rPr>
          <w:rFonts w:ascii="Poppins" w:eastAsia="Times New Roman" w:hAnsi="Poppins" w:cs="Poppins"/>
          <w:sz w:val="21"/>
          <w:szCs w:val="21"/>
          <w:lang w:eastAsia="en-GB"/>
        </w:rPr>
        <w:t>r</w:t>
      </w:r>
      <w:r w:rsidRPr="00E42614">
        <w:rPr>
          <w:rFonts w:ascii="Poppins" w:eastAsia="Times New Roman" w:hAnsi="Poppins" w:cs="Poppins"/>
          <w:sz w:val="21"/>
          <w:szCs w:val="21"/>
          <w:lang w:eastAsia="en-GB"/>
        </w:rPr>
        <w:t>eactions</w:t>
      </w:r>
      <w:r w:rsidR="00582784" w:rsidRPr="00E42614">
        <w:rPr>
          <w:rFonts w:ascii="Poppins" w:eastAsia="Times New Roman" w:hAnsi="Poppins" w:cs="Poppins"/>
          <w:sz w:val="21"/>
          <w:szCs w:val="21"/>
          <w:lang w:eastAsia="en-GB"/>
        </w:rPr>
        <w:t>.</w:t>
      </w:r>
      <w:r w:rsidR="00993F0A">
        <w:rPr>
          <w:rFonts w:ascii="Poppins" w:eastAsia="Times New Roman" w:hAnsi="Poppins" w:cs="Poppins"/>
          <w:sz w:val="21"/>
          <w:szCs w:val="21"/>
          <w:lang w:eastAsia="en-GB"/>
        </w:rPr>
        <w:t xml:space="preserve"> </w:t>
      </w:r>
      <w:r w:rsidR="00993F0A" w:rsidRPr="00E42614">
        <w:rPr>
          <w:rFonts w:ascii="Poppins" w:eastAsia="Times New Roman" w:hAnsi="Poppins" w:cs="Poppins"/>
          <w:sz w:val="21"/>
          <w:szCs w:val="21"/>
          <w:lang w:eastAsia="en-GB"/>
        </w:rPr>
        <w:t xml:space="preserve"> </w:t>
      </w:r>
      <w:r w:rsidR="00993F0A" w:rsidRPr="00E42614">
        <w:rPr>
          <w:rFonts w:ascii="Poppins" w:eastAsia="Times New Roman" w:hAnsi="Poppins" w:cs="Poppins"/>
          <w:bCs/>
          <w:i/>
          <w:iCs/>
          <w:color w:val="808080" w:themeColor="background1" w:themeShade="80"/>
          <w:sz w:val="20"/>
          <w:szCs w:val="20"/>
        </w:rPr>
        <w:t>&lt;</w:t>
      </w:r>
      <w:r w:rsidR="00993F0A">
        <w:rPr>
          <w:rFonts w:ascii="Poppins" w:eastAsia="Times New Roman" w:hAnsi="Poppins" w:cs="Poppins"/>
          <w:bCs/>
          <w:i/>
          <w:iCs/>
          <w:color w:val="808080" w:themeColor="background1" w:themeShade="80"/>
          <w:sz w:val="20"/>
          <w:szCs w:val="20"/>
        </w:rPr>
        <w:t>or as per Trust protocols&gt;</w:t>
      </w:r>
      <w:r w:rsidR="00E85B6B">
        <w:rPr>
          <w:rFonts w:ascii="Poppins" w:eastAsia="Times New Roman" w:hAnsi="Poppins" w:cs="Poppins"/>
          <w:bCs/>
          <w:i/>
          <w:iCs/>
          <w:color w:val="808080" w:themeColor="background1" w:themeShade="80"/>
          <w:sz w:val="20"/>
          <w:szCs w:val="20"/>
        </w:rPr>
        <w:t xml:space="preserve"> </w:t>
      </w:r>
    </w:p>
    <w:p w14:paraId="1D2D120D" w14:textId="7373759D" w:rsidR="00582784" w:rsidRPr="00E42614" w:rsidRDefault="009D49C0" w:rsidP="00D56022">
      <w:pPr>
        <w:pStyle w:val="Heading1"/>
        <w:spacing w:before="240" w:after="120"/>
        <w:rPr>
          <w:lang w:eastAsia="en-GB"/>
        </w:rPr>
      </w:pPr>
      <w:bookmarkStart w:id="17" w:name="_Monitoring_during_treatment"/>
      <w:bookmarkStart w:id="18" w:name="_Toc237332038"/>
      <w:bookmarkEnd w:id="17"/>
      <w:r w:rsidRPr="00E42614">
        <w:rPr>
          <w:lang w:eastAsia="en-GB"/>
        </w:rPr>
        <w:t xml:space="preserve">Monitoring </w:t>
      </w:r>
      <w:r w:rsidR="00580A2C" w:rsidRPr="00E42614">
        <w:rPr>
          <w:lang w:eastAsia="en-GB"/>
        </w:rPr>
        <w:t>d</w:t>
      </w:r>
      <w:r w:rsidRPr="00E42614">
        <w:rPr>
          <w:lang w:eastAsia="en-GB"/>
        </w:rPr>
        <w:t xml:space="preserve">uring </w:t>
      </w:r>
      <w:r w:rsidR="00580A2C" w:rsidRPr="00E42614">
        <w:rPr>
          <w:lang w:eastAsia="en-GB"/>
        </w:rPr>
        <w:t>t</w:t>
      </w:r>
      <w:r w:rsidRPr="00E42614">
        <w:rPr>
          <w:lang w:eastAsia="en-GB"/>
        </w:rPr>
        <w:t>reatment</w:t>
      </w:r>
      <w:bookmarkEnd w:id="18"/>
      <w:r w:rsidR="00580A2C" w:rsidRPr="00E42614">
        <w:rPr>
          <w:lang w:eastAsia="en-GB"/>
        </w:rPr>
        <w:t xml:space="preserve"> </w:t>
      </w:r>
    </w:p>
    <w:p w14:paraId="15E6293D" w14:textId="6A40B11A" w:rsidR="00580A2C" w:rsidRPr="00E42614" w:rsidRDefault="00580A2C"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&lt;Insert any additional requir</w:t>
      </w:r>
      <w:r w:rsidR="00B338D0" w:rsidRPr="00E42614">
        <w:rPr>
          <w:rFonts w:ascii="Poppins" w:eastAsia="Times New Roman" w:hAnsi="Poppins" w:cs="Poppins"/>
          <w:bCs/>
          <w:i/>
          <w:iCs/>
          <w:color w:val="808080" w:themeColor="background1" w:themeShade="80"/>
          <w:sz w:val="20"/>
          <w:szCs w:val="20"/>
        </w:rPr>
        <w:t>e</w:t>
      </w:r>
      <w:r w:rsidRPr="00E42614">
        <w:rPr>
          <w:rFonts w:ascii="Poppins" w:eastAsia="Times New Roman" w:hAnsi="Poppins" w:cs="Poppins"/>
          <w:bCs/>
          <w:i/>
          <w:iCs/>
          <w:color w:val="808080" w:themeColor="background1" w:themeShade="80"/>
          <w:sz w:val="20"/>
          <w:szCs w:val="20"/>
        </w:rPr>
        <w:t>ments as per Trust protocols</w:t>
      </w:r>
      <w:r w:rsidR="0087339F" w:rsidRPr="00E42614">
        <w:rPr>
          <w:rFonts w:ascii="Poppins" w:eastAsia="Times New Roman" w:hAnsi="Poppins" w:cs="Poppins"/>
          <w:bCs/>
          <w:i/>
          <w:iCs/>
          <w:color w:val="808080" w:themeColor="background1" w:themeShade="80"/>
          <w:sz w:val="20"/>
          <w:szCs w:val="20"/>
        </w:rPr>
        <w:t>. Clinicians may monitor more frequently at their discretion</w:t>
      </w:r>
      <w:r w:rsidRPr="00E42614">
        <w:rPr>
          <w:rFonts w:ascii="Poppins" w:eastAsia="Times New Roman" w:hAnsi="Poppins" w:cs="Poppins"/>
          <w:bCs/>
          <w:i/>
          <w:iCs/>
          <w:color w:val="808080" w:themeColor="background1" w:themeShade="80"/>
          <w:sz w:val="20"/>
          <w:szCs w:val="20"/>
        </w:rPr>
        <w:t>&gt;</w:t>
      </w:r>
    </w:p>
    <w:p w14:paraId="3F7A4026" w14:textId="50FFF0F6"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Review during the 14-day course</w:t>
      </w:r>
      <w:r w:rsidR="00580A2C" w:rsidRPr="00E42614">
        <w:rPr>
          <w:rFonts w:ascii="Poppins" w:eastAsia="Times New Roman" w:hAnsi="Poppins" w:cs="Poppins"/>
          <w:sz w:val="21"/>
          <w:szCs w:val="21"/>
          <w:lang w:eastAsia="en-GB"/>
        </w:rPr>
        <w:t xml:space="preserve"> to assess:</w:t>
      </w:r>
    </w:p>
    <w:p w14:paraId="376A9D42" w14:textId="77777777" w:rsidR="009D49C0" w:rsidRPr="00E42614"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Adverse events</w:t>
      </w:r>
    </w:p>
    <w:p w14:paraId="101FC4A5" w14:textId="77777777" w:rsidR="009D49C0" w:rsidRPr="00E42614"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Infusion tolerance</w:t>
      </w:r>
    </w:p>
    <w:p w14:paraId="281CEC70" w14:textId="771702B1" w:rsidR="00B338D0" w:rsidRPr="00E42614" w:rsidRDefault="00F92CF6"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Hyperglycaemia or n</w:t>
      </w:r>
      <w:r w:rsidR="009D49C0" w:rsidRPr="00E42614">
        <w:rPr>
          <w:rFonts w:ascii="Poppins" w:eastAsia="Times New Roman" w:hAnsi="Poppins" w:cs="Poppins"/>
          <w:sz w:val="21"/>
          <w:szCs w:val="21"/>
          <w:lang w:eastAsia="en-GB"/>
        </w:rPr>
        <w:t>ew symptoms suggestive of diabetes progression</w:t>
      </w:r>
    </w:p>
    <w:p w14:paraId="6D443E1F" w14:textId="2FA2CCA0" w:rsidR="00580A2C" w:rsidRPr="00E42614" w:rsidRDefault="00F92CF6" w:rsidP="00714E12">
      <w:pPr>
        <w:spacing w:before="240" w:after="120" w:line="240" w:lineRule="auto"/>
        <w:rPr>
          <w:rFonts w:ascii="Poppins" w:eastAsia="Times New Roman" w:hAnsi="Poppins" w:cs="Poppins"/>
          <w:sz w:val="21"/>
          <w:szCs w:val="21"/>
          <w:lang w:eastAsia="en-GB"/>
        </w:rPr>
      </w:pPr>
      <w:r w:rsidRPr="00E42614">
        <w:rPr>
          <w:rFonts w:ascii="Poppins" w:eastAsia="Times New Roman" w:hAnsi="Poppins" w:cs="Poppins"/>
          <w:bCs/>
          <w:sz w:val="20"/>
          <w:szCs w:val="20"/>
        </w:rPr>
        <w:t>Suggested i</w:t>
      </w:r>
      <w:r w:rsidR="00580A2C" w:rsidRPr="00E42614">
        <w:rPr>
          <w:rFonts w:ascii="Poppins" w:eastAsia="Times New Roman" w:hAnsi="Poppins" w:cs="Poppins"/>
          <w:bCs/>
          <w:sz w:val="20"/>
          <w:szCs w:val="20"/>
        </w:rPr>
        <w:t>nvestigations during infusion</w:t>
      </w:r>
      <w:r w:rsidR="00AB3851" w:rsidRPr="00E42614">
        <w:rPr>
          <w:rFonts w:ascii="Poppins" w:eastAsia="Times New Roman" w:hAnsi="Poppins" w:cs="Poppins"/>
          <w:bCs/>
          <w:sz w:val="20"/>
          <w:szCs w:val="20"/>
        </w:rPr>
        <w:t xml:space="preserve"> on days 1,</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3,</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5,</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8,</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14</w:t>
      </w:r>
      <w:r w:rsidR="00580A2C"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580A2C" w:rsidRPr="00E42614">
        <w:rPr>
          <w:rFonts w:ascii="Poppins" w:eastAsia="Times New Roman" w:hAnsi="Poppins" w:cs="Poppins"/>
          <w:sz w:val="21"/>
          <w:szCs w:val="21"/>
          <w:lang w:eastAsia="en-GB"/>
        </w:rPr>
      </w:r>
      <w:r w:rsidR="00580A2C" w:rsidRPr="00E42614">
        <w:rPr>
          <w:rFonts w:ascii="Poppins" w:eastAsia="Times New Roman" w:hAnsi="Poppins" w:cs="Poppins"/>
          <w:sz w:val="21"/>
          <w:szCs w:val="21"/>
          <w:lang w:eastAsia="en-GB"/>
        </w:rPr>
        <w:fldChar w:fldCharType="separate"/>
      </w:r>
      <w:r w:rsidR="00580A2C" w:rsidRPr="00E42614">
        <w:rPr>
          <w:rFonts w:ascii="Poppins" w:eastAsia="Times New Roman" w:hAnsi="Poppins" w:cs="Poppins"/>
          <w:noProof/>
          <w:sz w:val="21"/>
          <w:szCs w:val="21"/>
          <w:vertAlign w:val="superscript"/>
          <w:lang w:eastAsia="en-GB"/>
        </w:rPr>
        <w:t>(Dias, 2026)</w:t>
      </w:r>
      <w:r w:rsidR="00580A2C" w:rsidRPr="00E42614">
        <w:rPr>
          <w:rFonts w:ascii="Poppins" w:eastAsia="Times New Roman" w:hAnsi="Poppins" w:cs="Poppins"/>
          <w:sz w:val="21"/>
          <w:szCs w:val="21"/>
          <w:lang w:eastAsia="en-GB"/>
        </w:rPr>
        <w:fldChar w:fldCharType="end"/>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CellMar>
          <w:left w:w="57" w:type="dxa"/>
          <w:right w:w="57" w:type="dxa"/>
        </w:tblCellMar>
        <w:tblLook w:val="04A0" w:firstRow="1" w:lastRow="0" w:firstColumn="1" w:lastColumn="0" w:noHBand="0" w:noVBand="1"/>
      </w:tblPr>
      <w:tblGrid>
        <w:gridCol w:w="1132"/>
        <w:gridCol w:w="535"/>
        <w:gridCol w:w="536"/>
        <w:gridCol w:w="535"/>
        <w:gridCol w:w="536"/>
        <w:gridCol w:w="535"/>
        <w:gridCol w:w="536"/>
        <w:gridCol w:w="536"/>
        <w:gridCol w:w="535"/>
        <w:gridCol w:w="536"/>
        <w:gridCol w:w="535"/>
        <w:gridCol w:w="536"/>
        <w:gridCol w:w="535"/>
        <w:gridCol w:w="536"/>
        <w:gridCol w:w="536"/>
      </w:tblGrid>
      <w:tr w:rsidR="00580A2C" w:rsidRPr="00E42614" w14:paraId="593FBBCB" w14:textId="1A8FAACA" w:rsidTr="00016158">
        <w:tc>
          <w:tcPr>
            <w:tcW w:w="1132" w:type="dxa"/>
            <w:shd w:val="clear" w:color="auto" w:fill="9FD8FF"/>
            <w:vAlign w:val="center"/>
          </w:tcPr>
          <w:p w14:paraId="41F7EE0E" w14:textId="7B44CE5E" w:rsidR="00580A2C" w:rsidRPr="00016158" w:rsidRDefault="00580A2C" w:rsidP="00016158">
            <w:pPr>
              <w:spacing w:before="120" w:after="120"/>
              <w:ind w:left="57"/>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Infusion day</w:t>
            </w:r>
          </w:p>
        </w:tc>
        <w:tc>
          <w:tcPr>
            <w:tcW w:w="535" w:type="dxa"/>
            <w:shd w:val="clear" w:color="auto" w:fill="9FD8FF"/>
            <w:vAlign w:val="center"/>
          </w:tcPr>
          <w:p w14:paraId="5F745BA9" w14:textId="7F969D99"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w:t>
            </w:r>
          </w:p>
        </w:tc>
        <w:tc>
          <w:tcPr>
            <w:tcW w:w="536" w:type="dxa"/>
            <w:shd w:val="clear" w:color="auto" w:fill="9FD8FF"/>
            <w:vAlign w:val="center"/>
          </w:tcPr>
          <w:p w14:paraId="0DED54AA" w14:textId="5028F3A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2</w:t>
            </w:r>
          </w:p>
        </w:tc>
        <w:tc>
          <w:tcPr>
            <w:tcW w:w="535" w:type="dxa"/>
            <w:shd w:val="clear" w:color="auto" w:fill="9FD8FF"/>
            <w:vAlign w:val="center"/>
          </w:tcPr>
          <w:p w14:paraId="64D5B14E" w14:textId="4E17943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3</w:t>
            </w:r>
          </w:p>
        </w:tc>
        <w:tc>
          <w:tcPr>
            <w:tcW w:w="536" w:type="dxa"/>
            <w:shd w:val="clear" w:color="auto" w:fill="9FD8FF"/>
            <w:vAlign w:val="center"/>
          </w:tcPr>
          <w:p w14:paraId="74FFFC56" w14:textId="799D3626"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4</w:t>
            </w:r>
          </w:p>
        </w:tc>
        <w:tc>
          <w:tcPr>
            <w:tcW w:w="535" w:type="dxa"/>
            <w:shd w:val="clear" w:color="auto" w:fill="9FD8FF"/>
            <w:vAlign w:val="center"/>
          </w:tcPr>
          <w:p w14:paraId="1B806AE0" w14:textId="1F3356E7"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5</w:t>
            </w:r>
          </w:p>
        </w:tc>
        <w:tc>
          <w:tcPr>
            <w:tcW w:w="536" w:type="dxa"/>
            <w:shd w:val="clear" w:color="auto" w:fill="9FD8FF"/>
            <w:vAlign w:val="center"/>
          </w:tcPr>
          <w:p w14:paraId="2890E220" w14:textId="0F99A294"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6</w:t>
            </w:r>
          </w:p>
        </w:tc>
        <w:tc>
          <w:tcPr>
            <w:tcW w:w="536" w:type="dxa"/>
            <w:shd w:val="clear" w:color="auto" w:fill="9FD8FF"/>
            <w:vAlign w:val="center"/>
          </w:tcPr>
          <w:p w14:paraId="1B205F28" w14:textId="677E181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7</w:t>
            </w:r>
          </w:p>
        </w:tc>
        <w:tc>
          <w:tcPr>
            <w:tcW w:w="535" w:type="dxa"/>
            <w:shd w:val="clear" w:color="auto" w:fill="9FD8FF"/>
            <w:vAlign w:val="center"/>
          </w:tcPr>
          <w:p w14:paraId="43EF39CD" w14:textId="6B6E86FD"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8</w:t>
            </w:r>
          </w:p>
        </w:tc>
        <w:tc>
          <w:tcPr>
            <w:tcW w:w="536" w:type="dxa"/>
            <w:shd w:val="clear" w:color="auto" w:fill="9FD8FF"/>
            <w:vAlign w:val="center"/>
          </w:tcPr>
          <w:p w14:paraId="65B0A784" w14:textId="0A3D7BF1"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9</w:t>
            </w:r>
          </w:p>
        </w:tc>
        <w:tc>
          <w:tcPr>
            <w:tcW w:w="535" w:type="dxa"/>
            <w:shd w:val="clear" w:color="auto" w:fill="9FD8FF"/>
            <w:vAlign w:val="center"/>
          </w:tcPr>
          <w:p w14:paraId="451767FE" w14:textId="70B8BD9F"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10</w:t>
            </w:r>
          </w:p>
        </w:tc>
        <w:tc>
          <w:tcPr>
            <w:tcW w:w="536" w:type="dxa"/>
            <w:shd w:val="clear" w:color="auto" w:fill="9FD8FF"/>
            <w:vAlign w:val="center"/>
          </w:tcPr>
          <w:p w14:paraId="311D8C9B" w14:textId="5606E6A6"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11</w:t>
            </w:r>
          </w:p>
        </w:tc>
        <w:tc>
          <w:tcPr>
            <w:tcW w:w="535" w:type="dxa"/>
            <w:shd w:val="clear" w:color="auto" w:fill="9FD8FF"/>
            <w:vAlign w:val="center"/>
          </w:tcPr>
          <w:p w14:paraId="55A7E535" w14:textId="514D661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12</w:t>
            </w:r>
          </w:p>
        </w:tc>
        <w:tc>
          <w:tcPr>
            <w:tcW w:w="536" w:type="dxa"/>
            <w:shd w:val="clear" w:color="auto" w:fill="9FD8FF"/>
            <w:vAlign w:val="center"/>
          </w:tcPr>
          <w:p w14:paraId="1497D6F6" w14:textId="598CBCFC"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13</w:t>
            </w:r>
          </w:p>
        </w:tc>
        <w:tc>
          <w:tcPr>
            <w:tcW w:w="536" w:type="dxa"/>
            <w:shd w:val="clear" w:color="auto" w:fill="9FD8FF"/>
            <w:vAlign w:val="center"/>
          </w:tcPr>
          <w:p w14:paraId="201E4B19" w14:textId="7D8DA4CD"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14</w:t>
            </w:r>
          </w:p>
        </w:tc>
      </w:tr>
      <w:tr w:rsidR="00580A2C" w:rsidRPr="00E42614" w14:paraId="28459A3F" w14:textId="4533CC9B" w:rsidTr="00016158">
        <w:tc>
          <w:tcPr>
            <w:tcW w:w="1132" w:type="dxa"/>
            <w:shd w:val="clear" w:color="auto" w:fill="F2F2F2" w:themeFill="background1" w:themeFillShade="F2"/>
            <w:vAlign w:val="center"/>
          </w:tcPr>
          <w:p w14:paraId="7D14303C" w14:textId="7EE13877"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FBC</w:t>
            </w:r>
          </w:p>
        </w:tc>
        <w:tc>
          <w:tcPr>
            <w:tcW w:w="535" w:type="dxa"/>
            <w:shd w:val="clear" w:color="auto" w:fill="F2F2F2" w:themeFill="background1" w:themeFillShade="F2"/>
            <w:vAlign w:val="center"/>
          </w:tcPr>
          <w:p w14:paraId="0A8B77AB" w14:textId="7B0B1C17" w:rsidR="00580A2C" w:rsidRPr="00E42614" w:rsidRDefault="00AF56BA"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237A96F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30FF46C5" w14:textId="24911EF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4C4ACBC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6C77A34C" w14:textId="18BCBD3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44C081E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6EE01E7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6FCE19E" w14:textId="153CF298"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691EDD9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60270D2B"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192DC4AD"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0BDEDEB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6F3D3DE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1B7DDBAF" w14:textId="36F5135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r>
      <w:tr w:rsidR="00580A2C" w:rsidRPr="00E42614" w14:paraId="49A17467" w14:textId="466184BE" w:rsidTr="00016158">
        <w:tc>
          <w:tcPr>
            <w:tcW w:w="1132" w:type="dxa"/>
            <w:shd w:val="clear" w:color="auto" w:fill="F2F2F2" w:themeFill="background1" w:themeFillShade="F2"/>
            <w:vAlign w:val="center"/>
          </w:tcPr>
          <w:p w14:paraId="113B365C" w14:textId="3FC3A87D"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U&amp;E</w:t>
            </w:r>
          </w:p>
        </w:tc>
        <w:tc>
          <w:tcPr>
            <w:tcW w:w="535" w:type="dxa"/>
            <w:shd w:val="clear" w:color="auto" w:fill="F2F2F2" w:themeFill="background1" w:themeFillShade="F2"/>
            <w:vAlign w:val="center"/>
          </w:tcPr>
          <w:p w14:paraId="27A1283D" w14:textId="6DCA0A0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6C91643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0BE1A00"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7F83643"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48466E06"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0F7B32C"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0FAA39D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107ADF5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64DFFFA"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0961F02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13B307D9"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5640C56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262E4165"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78F8766" w14:textId="77777777" w:rsidR="00580A2C" w:rsidRPr="00E42614" w:rsidRDefault="00580A2C" w:rsidP="00016158">
            <w:pPr>
              <w:spacing w:before="120" w:after="120"/>
              <w:jc w:val="center"/>
              <w:rPr>
                <w:rFonts w:ascii="Poppins" w:eastAsia="Times New Roman" w:hAnsi="Poppins" w:cs="Poppins"/>
                <w:sz w:val="16"/>
                <w:szCs w:val="16"/>
                <w:lang w:eastAsia="en-GB"/>
              </w:rPr>
            </w:pPr>
          </w:p>
        </w:tc>
      </w:tr>
      <w:tr w:rsidR="00580A2C" w:rsidRPr="00E42614" w14:paraId="59C23CF1" w14:textId="384A2760" w:rsidTr="00016158">
        <w:tc>
          <w:tcPr>
            <w:tcW w:w="1132" w:type="dxa"/>
            <w:shd w:val="clear" w:color="auto" w:fill="F2F2F2" w:themeFill="background1" w:themeFillShade="F2"/>
            <w:vAlign w:val="center"/>
          </w:tcPr>
          <w:p w14:paraId="51FB6FF4" w14:textId="697E231E"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LFT</w:t>
            </w:r>
          </w:p>
        </w:tc>
        <w:tc>
          <w:tcPr>
            <w:tcW w:w="535" w:type="dxa"/>
            <w:shd w:val="clear" w:color="auto" w:fill="F2F2F2" w:themeFill="background1" w:themeFillShade="F2"/>
            <w:vAlign w:val="center"/>
          </w:tcPr>
          <w:p w14:paraId="3602C9FE" w14:textId="31F39E1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240BF3C3"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79933530" w14:textId="7AAEE21E"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1F6C58D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1A99FBD1" w14:textId="35CE4A85"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205E3920"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F203DB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52ED8514" w14:textId="7673DDC5"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5DCA30B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30BB4C5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38FAE41"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A1CB46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0FD5671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08E1AA31" w14:textId="6B6273EA"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r>
      <w:tr w:rsidR="00580A2C" w:rsidRPr="00E42614" w14:paraId="3E4BB51F" w14:textId="544AC76E" w:rsidTr="00016158">
        <w:tc>
          <w:tcPr>
            <w:tcW w:w="1132" w:type="dxa"/>
            <w:shd w:val="clear" w:color="auto" w:fill="F2F2F2" w:themeFill="background1" w:themeFillShade="F2"/>
            <w:vAlign w:val="center"/>
          </w:tcPr>
          <w:p w14:paraId="0BA8CBDC" w14:textId="01A8233B"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Pregnancy test (if applicable)</w:t>
            </w:r>
          </w:p>
        </w:tc>
        <w:tc>
          <w:tcPr>
            <w:tcW w:w="535" w:type="dxa"/>
            <w:shd w:val="clear" w:color="auto" w:fill="F2F2F2" w:themeFill="background1" w:themeFillShade="F2"/>
            <w:vAlign w:val="center"/>
          </w:tcPr>
          <w:p w14:paraId="65A17662" w14:textId="2D57D6E7"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7E47880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193A937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7738201B"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3F34B0E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6372985B"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7D74D6F1"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0666D7DC"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7125BDC"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565ADC7D"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7CE597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24B3B25"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3D1B88D"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2FA1E126" w14:textId="77777777" w:rsidR="00580A2C" w:rsidRPr="00E42614" w:rsidRDefault="00580A2C" w:rsidP="00016158">
            <w:pPr>
              <w:spacing w:before="120" w:after="120"/>
              <w:jc w:val="center"/>
              <w:rPr>
                <w:rFonts w:ascii="Poppins" w:eastAsia="Times New Roman" w:hAnsi="Poppins" w:cs="Poppins"/>
                <w:sz w:val="16"/>
                <w:szCs w:val="16"/>
                <w:lang w:eastAsia="en-GB"/>
              </w:rPr>
            </w:pPr>
          </w:p>
        </w:tc>
      </w:tr>
      <w:tr w:rsidR="00580A2C" w:rsidRPr="00E42614" w14:paraId="03564A8C" w14:textId="7047462B" w:rsidTr="00016158">
        <w:tc>
          <w:tcPr>
            <w:tcW w:w="1132" w:type="dxa"/>
            <w:shd w:val="clear" w:color="auto" w:fill="F2F2F2" w:themeFill="background1" w:themeFillShade="F2"/>
            <w:vAlign w:val="center"/>
          </w:tcPr>
          <w:p w14:paraId="79704CD6" w14:textId="7E0ACE3B"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Infusion dose (mcg/m</w:t>
            </w:r>
            <w:r w:rsidRPr="00714E12">
              <w:rPr>
                <w:rFonts w:ascii="Poppins" w:eastAsia="Times New Roman" w:hAnsi="Poppins" w:cs="Poppins"/>
                <w:b/>
                <w:bCs/>
                <w:color w:val="0023C8"/>
                <w:sz w:val="16"/>
                <w:szCs w:val="16"/>
                <w:vertAlign w:val="superscript"/>
                <w:lang w:eastAsia="en-GB"/>
              </w:rPr>
              <w:t>2</w:t>
            </w:r>
            <w:r w:rsidRPr="00714E12">
              <w:rPr>
                <w:rFonts w:ascii="Poppins" w:eastAsia="Times New Roman" w:hAnsi="Poppins" w:cs="Poppins"/>
                <w:b/>
                <w:bCs/>
                <w:color w:val="0023C8"/>
                <w:sz w:val="16"/>
                <w:szCs w:val="16"/>
                <w:lang w:eastAsia="en-GB"/>
              </w:rPr>
              <w:t>)</w:t>
            </w:r>
          </w:p>
        </w:tc>
        <w:tc>
          <w:tcPr>
            <w:tcW w:w="535" w:type="dxa"/>
            <w:shd w:val="clear" w:color="auto" w:fill="F2F2F2" w:themeFill="background1" w:themeFillShade="F2"/>
            <w:vAlign w:val="center"/>
          </w:tcPr>
          <w:p w14:paraId="6440A121" w14:textId="3E78808D"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65</w:t>
            </w:r>
          </w:p>
        </w:tc>
        <w:tc>
          <w:tcPr>
            <w:tcW w:w="536" w:type="dxa"/>
            <w:shd w:val="clear" w:color="auto" w:fill="F2F2F2" w:themeFill="background1" w:themeFillShade="F2"/>
            <w:vAlign w:val="center"/>
          </w:tcPr>
          <w:p w14:paraId="1E7264B4" w14:textId="23E4D996"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125</w:t>
            </w:r>
          </w:p>
        </w:tc>
        <w:tc>
          <w:tcPr>
            <w:tcW w:w="535" w:type="dxa"/>
            <w:shd w:val="clear" w:color="auto" w:fill="F2F2F2" w:themeFill="background1" w:themeFillShade="F2"/>
            <w:vAlign w:val="center"/>
          </w:tcPr>
          <w:p w14:paraId="258E0E95" w14:textId="1E67FEA3"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250</w:t>
            </w:r>
          </w:p>
        </w:tc>
        <w:tc>
          <w:tcPr>
            <w:tcW w:w="536" w:type="dxa"/>
            <w:shd w:val="clear" w:color="auto" w:fill="F2F2F2" w:themeFill="background1" w:themeFillShade="F2"/>
            <w:vAlign w:val="center"/>
          </w:tcPr>
          <w:p w14:paraId="55D21EA7" w14:textId="7F117A44"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500</w:t>
            </w:r>
          </w:p>
        </w:tc>
        <w:tc>
          <w:tcPr>
            <w:tcW w:w="535" w:type="dxa"/>
            <w:shd w:val="clear" w:color="auto" w:fill="F2F2F2" w:themeFill="background1" w:themeFillShade="F2"/>
            <w:vAlign w:val="center"/>
          </w:tcPr>
          <w:p w14:paraId="78EED32B" w14:textId="491A876A"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7D28050A" w14:textId="6378A7A8"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2088F1F8" w14:textId="60AE9CD3"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5" w:type="dxa"/>
            <w:shd w:val="clear" w:color="auto" w:fill="F2F2F2" w:themeFill="background1" w:themeFillShade="F2"/>
            <w:vAlign w:val="center"/>
          </w:tcPr>
          <w:p w14:paraId="40B76DB7" w14:textId="3DC05C7A"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2DEE6937" w14:textId="33ADF486"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5" w:type="dxa"/>
            <w:shd w:val="clear" w:color="auto" w:fill="F2F2F2" w:themeFill="background1" w:themeFillShade="F2"/>
            <w:vAlign w:val="center"/>
          </w:tcPr>
          <w:p w14:paraId="2E471BDA" w14:textId="735BE6FF"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24540EA5" w14:textId="6A7737DB"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5" w:type="dxa"/>
            <w:shd w:val="clear" w:color="auto" w:fill="F2F2F2" w:themeFill="background1" w:themeFillShade="F2"/>
            <w:vAlign w:val="center"/>
          </w:tcPr>
          <w:p w14:paraId="47C2A4FC" w14:textId="726E0437"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795BD7E1" w14:textId="05F0CB9F"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5375C11B" w14:textId="4BBB69F1"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r>
    </w:tbl>
    <w:p w14:paraId="6BB2FDE2" w14:textId="384C209E" w:rsidR="00DB788C"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lastRenderedPageBreak/>
        <w:t>Any s</w:t>
      </w:r>
      <w:r w:rsidR="00C91C71" w:rsidRPr="00E42614">
        <w:rPr>
          <w:rFonts w:ascii="Poppins" w:eastAsia="Times New Roman" w:hAnsi="Poppins" w:cs="Poppins"/>
          <w:sz w:val="21"/>
          <w:szCs w:val="21"/>
          <w:lang w:eastAsia="en-GB"/>
        </w:rPr>
        <w:t>uspected</w:t>
      </w:r>
      <w:r w:rsidRPr="00E42614">
        <w:rPr>
          <w:rFonts w:ascii="Poppins" w:eastAsia="Times New Roman" w:hAnsi="Poppins" w:cs="Poppins"/>
          <w:sz w:val="21"/>
          <w:szCs w:val="21"/>
          <w:lang w:eastAsia="en-GB"/>
        </w:rPr>
        <w:t xml:space="preserve"> adverse reaction should be reported via the</w:t>
      </w:r>
      <w:r w:rsidR="009F6F38" w:rsidRPr="00E42614">
        <w:rPr>
          <w:rFonts w:ascii="Poppins" w:eastAsia="Times New Roman" w:hAnsi="Poppins" w:cs="Poppins"/>
          <w:sz w:val="21"/>
          <w:szCs w:val="21"/>
          <w:lang w:eastAsia="en-GB"/>
        </w:rPr>
        <w:t xml:space="preserve"> Medicines and Healthcare products Regulatory Agency</w:t>
      </w:r>
      <w:r w:rsidRPr="00E42614">
        <w:rPr>
          <w:rFonts w:ascii="Poppins" w:eastAsia="Times New Roman" w:hAnsi="Poppins" w:cs="Poppins"/>
          <w:sz w:val="21"/>
          <w:szCs w:val="21"/>
          <w:lang w:eastAsia="en-GB"/>
        </w:rPr>
        <w:t xml:space="preserve"> </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MHRA</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Yellow Card Scheme</w:t>
      </w:r>
      <w:r w:rsidR="009F6F38" w:rsidRPr="00E42614">
        <w:rPr>
          <w:rFonts w:ascii="Poppins" w:eastAsia="Times New Roman" w:hAnsi="Poppins" w:cs="Poppins"/>
          <w:sz w:val="21"/>
          <w:szCs w:val="21"/>
          <w:lang w:eastAsia="en-GB"/>
        </w:rPr>
        <w:t xml:space="preserve"> and to the</w:t>
      </w:r>
      <w:r w:rsidR="000F24BB" w:rsidRPr="00E42614">
        <w:rPr>
          <w:rFonts w:ascii="Poppins" w:eastAsia="Times New Roman" w:hAnsi="Poppins" w:cs="Poppins"/>
          <w:sz w:val="21"/>
          <w:szCs w:val="21"/>
          <w:lang w:eastAsia="en-GB"/>
        </w:rPr>
        <w:t xml:space="preserve"> </w:t>
      </w:r>
      <w:r w:rsidR="009F6F38" w:rsidRPr="00E42614">
        <w:rPr>
          <w:rFonts w:ascii="Poppins" w:eastAsia="Times New Roman" w:hAnsi="Poppins" w:cs="Poppins"/>
          <w:sz w:val="21"/>
          <w:szCs w:val="21"/>
          <w:lang w:eastAsia="en-GB"/>
        </w:rPr>
        <w:t>manufacturer</w:t>
      </w:r>
      <w:r w:rsidR="00582784" w:rsidRPr="00E42614">
        <w:rPr>
          <w:rFonts w:ascii="Poppins" w:eastAsia="Times New Roman" w:hAnsi="Poppins" w:cs="Poppins"/>
          <w:sz w:val="21"/>
          <w:szCs w:val="21"/>
          <w:lang w:eastAsia="en-GB"/>
        </w:rPr>
        <w:t>.</w:t>
      </w:r>
      <w:r w:rsidR="00DB788C" w:rsidRPr="00E42614">
        <w:rPr>
          <w:rFonts w:ascii="Poppins" w:hAnsi="Poppins" w:cs="Poppins"/>
          <w:spacing w:val="-2"/>
        </w:rPr>
        <w:t xml:space="preserve"> </w:t>
      </w:r>
      <w:r w:rsidR="00DB788C"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DB788C" w:rsidRPr="00E42614">
        <w:rPr>
          <w:rFonts w:ascii="Poppins" w:hAnsi="Poppins" w:cs="Poppins"/>
          <w:spacing w:val="-2"/>
        </w:rPr>
        <w:fldChar w:fldCharType="separate"/>
      </w:r>
      <w:r w:rsidR="00DB788C" w:rsidRPr="00E42614">
        <w:rPr>
          <w:rFonts w:ascii="Poppins" w:hAnsi="Poppins" w:cs="Poppins"/>
          <w:noProof/>
          <w:spacing w:val="-2"/>
          <w:vertAlign w:val="superscript"/>
        </w:rPr>
        <w:t>(TZIELD® SmPC)</w:t>
      </w:r>
      <w:r w:rsidR="00DB788C" w:rsidRPr="00E42614">
        <w:rPr>
          <w:rFonts w:ascii="Poppins" w:hAnsi="Poppins" w:cs="Poppins"/>
          <w:spacing w:val="-2"/>
        </w:rPr>
        <w:fldChar w:fldCharType="end"/>
      </w:r>
    </w:p>
    <w:p w14:paraId="638CA305" w14:textId="1E0E5DC1" w:rsidR="00A10CA0" w:rsidRPr="00E42614" w:rsidRDefault="00A10CA0" w:rsidP="00714E12">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sz w:val="21"/>
          <w:szCs w:val="21"/>
          <w:lang w:eastAsia="en-GB"/>
        </w:rPr>
        <w:t>Infection control during treatment</w:t>
      </w:r>
    </w:p>
    <w:p w14:paraId="61CD60DB" w14:textId="77777777" w:rsidR="00993F0A" w:rsidRDefault="00A10CA0" w:rsidP="00714E12">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Standard infection control measures should be used including handwashing</w:t>
      </w:r>
      <w:r w:rsidR="00993F0A">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as per Trust protocols. During the phase of white cell fall, it is recommended that individuals wear a face mask when in public places including school, work offices and on public transport.</w:t>
      </w:r>
      <w:r w:rsidR="000971C8"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0971C8" w:rsidRPr="00E42614">
        <w:rPr>
          <w:rFonts w:ascii="Poppins" w:eastAsia="Times New Roman" w:hAnsi="Poppins" w:cs="Poppins"/>
          <w:sz w:val="21"/>
          <w:szCs w:val="21"/>
          <w:lang w:eastAsia="en-GB"/>
        </w:rPr>
      </w:r>
      <w:r w:rsidR="000971C8" w:rsidRPr="00E42614">
        <w:rPr>
          <w:rFonts w:ascii="Poppins" w:eastAsia="Times New Roman" w:hAnsi="Poppins" w:cs="Poppins"/>
          <w:sz w:val="21"/>
          <w:szCs w:val="21"/>
          <w:lang w:eastAsia="en-GB"/>
        </w:rPr>
        <w:fldChar w:fldCharType="separate"/>
      </w:r>
      <w:r w:rsidR="000971C8" w:rsidRPr="00E42614">
        <w:rPr>
          <w:rFonts w:ascii="Poppins" w:eastAsia="Times New Roman" w:hAnsi="Poppins" w:cs="Poppins"/>
          <w:noProof/>
          <w:sz w:val="21"/>
          <w:szCs w:val="21"/>
          <w:vertAlign w:val="superscript"/>
          <w:lang w:eastAsia="en-GB"/>
        </w:rPr>
        <w:t>(Dias, 2026)</w:t>
      </w:r>
      <w:r w:rsidR="000971C8" w:rsidRPr="00E42614">
        <w:rPr>
          <w:rFonts w:ascii="Poppins" w:eastAsia="Times New Roman" w:hAnsi="Poppins" w:cs="Poppins"/>
          <w:sz w:val="21"/>
          <w:szCs w:val="21"/>
          <w:lang w:eastAsia="en-GB"/>
        </w:rPr>
        <w:fldChar w:fldCharType="end"/>
      </w:r>
    </w:p>
    <w:p w14:paraId="04B448E9" w14:textId="50FAD6E8" w:rsidR="00A10CA0" w:rsidRPr="00E42614" w:rsidRDefault="00993F0A" w:rsidP="00974651">
      <w:pPr>
        <w:spacing w:before="120" w:after="120" w:line="240" w:lineRule="auto"/>
        <w:rPr>
          <w:rFonts w:ascii="Poppins" w:eastAsia="Times New Roman" w:hAnsi="Poppins" w:cs="Poppins"/>
          <w:sz w:val="21"/>
          <w:szCs w:val="21"/>
          <w:lang w:eastAsia="en-GB"/>
        </w:rPr>
      </w:pPr>
      <w:r w:rsidRPr="00993F0A">
        <w:rPr>
          <w:rFonts w:ascii="Poppins" w:eastAsia="Times New Roman" w:hAnsi="Poppins" w:cs="Poppins"/>
          <w:sz w:val="21"/>
          <w:szCs w:val="21"/>
          <w:lang w:val="en-US" w:eastAsia="en-GB"/>
        </w:rPr>
        <w:t>For most patients treated with teplizumab who experienced lymphopenia, lymphocyte levels began to recover after the fifth day of treatment and returned to pre-treatment values within two weeks after treatment completion and without dose interruption</w:t>
      </w:r>
      <w:r>
        <w:rPr>
          <w:rFonts w:ascii="Poppins" w:eastAsia="Times New Roman" w:hAnsi="Poppins" w:cs="Poppins"/>
          <w:sz w:val="21"/>
          <w:szCs w:val="21"/>
          <w:lang w:val="en-US" w:eastAsia="en-GB"/>
        </w:rPr>
        <w:t>.</w:t>
      </w:r>
      <w:r w:rsidRPr="00993F0A">
        <w:rPr>
          <w:rFonts w:ascii="Poppins" w:hAnsi="Poppins" w:cs="Poppins"/>
          <w:spacing w:val="-2"/>
        </w:rPr>
        <w:t xml:space="preserve"> </w:t>
      </w:r>
      <w:r w:rsidRPr="00E42614">
        <w:rPr>
          <w:rFonts w:ascii="Poppins" w:hAnsi="Poppins" w:cs="Poppins"/>
          <w:spacing w:val="-2"/>
        </w:rPr>
        <w:fldChar w:fldCharType="begin"/>
      </w:r>
      <w:r>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Pr="00E42614">
        <w:rPr>
          <w:rFonts w:ascii="Poppins" w:hAnsi="Poppins" w:cs="Poppins"/>
          <w:noProof/>
          <w:spacing w:val="-2"/>
          <w:vertAlign w:val="superscript"/>
        </w:rPr>
        <w:t>(TZIELD® SmPC)</w:t>
      </w:r>
      <w:r w:rsidRPr="00E42614">
        <w:rPr>
          <w:rFonts w:ascii="Poppins" w:hAnsi="Poppins" w:cs="Poppins"/>
          <w:spacing w:val="-2"/>
        </w:rPr>
        <w:fldChar w:fldCharType="end"/>
      </w:r>
      <w:r w:rsidR="008E40E4" w:rsidRPr="00E42614">
        <w:rPr>
          <w:rFonts w:ascii="Poppins" w:eastAsia="Times New Roman" w:hAnsi="Poppins" w:cs="Poppins"/>
          <w:sz w:val="21"/>
          <w:szCs w:val="21"/>
          <w:lang w:eastAsia="en-GB"/>
        </w:rPr>
        <w:t xml:space="preserve"> </w:t>
      </w:r>
    </w:p>
    <w:p w14:paraId="3A3ACCDA" w14:textId="5899E1F3" w:rsidR="00F92CF6" w:rsidRPr="00E42614" w:rsidRDefault="00F92CF6" w:rsidP="00FB7040">
      <w:pPr>
        <w:pStyle w:val="Heading1"/>
        <w:spacing w:before="240" w:after="120"/>
        <w:rPr>
          <w:lang w:eastAsia="en-GB"/>
        </w:rPr>
      </w:pPr>
      <w:bookmarkStart w:id="19" w:name="_Toc237332039"/>
      <w:r w:rsidRPr="00E42614">
        <w:rPr>
          <w:lang w:eastAsia="en-GB"/>
        </w:rPr>
        <w:t xml:space="preserve">Escalation </w:t>
      </w:r>
      <w:r w:rsidR="00582784" w:rsidRPr="00E42614">
        <w:rPr>
          <w:lang w:eastAsia="en-GB"/>
        </w:rPr>
        <w:t>p</w:t>
      </w:r>
      <w:r w:rsidRPr="00E42614">
        <w:rPr>
          <w:lang w:eastAsia="en-GB"/>
        </w:rPr>
        <w:t>rotocol if signs of adverse drug reaction</w:t>
      </w:r>
      <w:bookmarkEnd w:id="19"/>
      <w:r w:rsidRPr="00E42614">
        <w:rPr>
          <w:lang w:eastAsia="en-GB"/>
        </w:rPr>
        <w:t xml:space="preserve"> </w:t>
      </w:r>
    </w:p>
    <w:p w14:paraId="7CD18B74" w14:textId="3FC5DA50" w:rsidR="00F92CF6" w:rsidRPr="00E42614" w:rsidRDefault="00F92CF6"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Refer to</w:t>
      </w:r>
      <w:r w:rsidR="009F6F38" w:rsidRPr="00E42614">
        <w:rPr>
          <w:rFonts w:ascii="Poppins" w:eastAsia="Times New Roman" w:hAnsi="Poppins" w:cs="Poppins"/>
          <w:sz w:val="21"/>
          <w:szCs w:val="21"/>
          <w:lang w:eastAsia="en-GB"/>
        </w:rPr>
        <w:t xml:space="preserve"> Summary of Product Characteristics </w:t>
      </w:r>
      <w:r w:rsidR="00487F85" w:rsidRPr="00E42614">
        <w:rPr>
          <w:rFonts w:ascii="Poppins" w:eastAsia="Times New Roman" w:hAnsi="Poppins" w:cs="Poppins"/>
          <w:sz w:val="21"/>
          <w:szCs w:val="21"/>
          <w:lang w:eastAsia="en-GB"/>
        </w:rPr>
        <w:t>(SmPC</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for monitoring requirements and most common side-effects. Report suspected adverse events as per SmPC and MHRA Yellow Card scheme</w:t>
      </w:r>
      <w:r w:rsidR="009F6F38" w:rsidRPr="00E42614">
        <w:rPr>
          <w:rFonts w:ascii="Poppins" w:eastAsia="Times New Roman" w:hAnsi="Poppins" w:cs="Poppins"/>
          <w:sz w:val="21"/>
          <w:szCs w:val="21"/>
          <w:lang w:eastAsia="en-GB"/>
        </w:rPr>
        <w:t xml:space="preserve"> and to the manufacturer</w:t>
      </w:r>
      <w:r w:rsidRPr="00E42614">
        <w:rPr>
          <w:rFonts w:ascii="Poppins" w:eastAsia="Times New Roman" w:hAnsi="Poppins" w:cs="Poppins"/>
          <w:sz w:val="21"/>
          <w:szCs w:val="21"/>
          <w:lang w:eastAsia="en-GB"/>
        </w:rPr>
        <w:t>.</w:t>
      </w:r>
    </w:p>
    <w:p w14:paraId="2479A451" w14:textId="5F19F227" w:rsidR="003A2BFA" w:rsidRDefault="003A2BFA"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Ensure responsible clinician is informed at the earliest opportunity.</w:t>
      </w:r>
    </w:p>
    <w:p w14:paraId="510AC4F4" w14:textId="3BB8818F" w:rsidR="00E85B6B" w:rsidRDefault="00E85B6B" w:rsidP="00714E12">
      <w:pPr>
        <w:spacing w:before="240" w:after="120" w:line="240" w:lineRule="auto"/>
        <w:rPr>
          <w:rFonts w:ascii="Poppins" w:eastAsia="Times New Roman" w:hAnsi="Poppins" w:cs="Poppins"/>
          <w:b/>
          <w:bCs/>
          <w:sz w:val="21"/>
          <w:szCs w:val="21"/>
          <w:lang w:eastAsia="en-GB"/>
        </w:rPr>
      </w:pPr>
      <w:r w:rsidRPr="00E85B6B">
        <w:rPr>
          <w:rFonts w:ascii="Poppins" w:eastAsia="Times New Roman" w:hAnsi="Poppins" w:cs="Poppins"/>
          <w:b/>
          <w:bCs/>
          <w:sz w:val="21"/>
          <w:szCs w:val="21"/>
          <w:lang w:eastAsia="en-GB"/>
        </w:rPr>
        <w:t>Proceed, pause and stop criteria</w:t>
      </w:r>
    </w:p>
    <w:p w14:paraId="2489803F" w14:textId="719C73F6" w:rsidR="00E85B6B" w:rsidRDefault="00E85B6B" w:rsidP="00974651">
      <w:pPr>
        <w:spacing w:before="120" w:after="120" w:line="240" w:lineRule="auto"/>
        <w:rPr>
          <w:rFonts w:ascii="Poppins" w:eastAsia="Times New Roman" w:hAnsi="Poppins" w:cs="Poppins"/>
          <w:sz w:val="21"/>
          <w:szCs w:val="21"/>
          <w:lang w:eastAsia="en-GB"/>
        </w:rPr>
      </w:pPr>
      <w:r w:rsidRPr="00E85B6B">
        <w:rPr>
          <w:rFonts w:ascii="Poppins" w:eastAsia="Times New Roman" w:hAnsi="Poppins" w:cs="Poppins"/>
          <w:sz w:val="21"/>
          <w:szCs w:val="21"/>
          <w:lang w:eastAsia="en-GB"/>
        </w:rPr>
        <w:t>Haematological thresholds</w: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 </w:instrTex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EN.CITE.DATA </w:instrText>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separate"/>
      </w:r>
      <w:r w:rsidRPr="00E85B6B">
        <w:rPr>
          <w:rFonts w:ascii="Poppins" w:eastAsia="Times New Roman" w:hAnsi="Poppins" w:cs="Poppins"/>
          <w:noProof/>
          <w:sz w:val="21"/>
          <w:szCs w:val="21"/>
          <w:vertAlign w:val="superscript"/>
          <w:lang w:eastAsia="en-GB"/>
        </w:rPr>
        <w:t>(Dias, 2026)</w:t>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t>:</w:t>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E85B6B" w:rsidRPr="00D41AFB" w14:paraId="0D473936" w14:textId="77777777" w:rsidTr="00E66AA6">
        <w:trPr>
          <w:tblHeader/>
        </w:trPr>
        <w:tc>
          <w:tcPr>
            <w:tcW w:w="4252" w:type="dxa"/>
            <w:shd w:val="clear" w:color="auto" w:fill="9FD8FF"/>
            <w:vAlign w:val="center"/>
          </w:tcPr>
          <w:p w14:paraId="3D6C69FA"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Result</w:t>
            </w:r>
          </w:p>
        </w:tc>
        <w:tc>
          <w:tcPr>
            <w:tcW w:w="4252" w:type="dxa"/>
            <w:shd w:val="clear" w:color="auto" w:fill="9FD8FF"/>
            <w:vAlign w:val="center"/>
          </w:tcPr>
          <w:p w14:paraId="032A6A93"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E85B6B" w:rsidRPr="00D41AFB" w14:paraId="5B6AF65F" w14:textId="77777777" w:rsidTr="00E66AA6">
        <w:tc>
          <w:tcPr>
            <w:tcW w:w="4252" w:type="dxa"/>
            <w:shd w:val="clear" w:color="auto" w:fill="F2F2F2" w:themeFill="background1" w:themeFillShade="F2"/>
            <w:vAlign w:val="center"/>
          </w:tcPr>
          <w:p w14:paraId="006A7BC1"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Neutrophils &gt;1.5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before treatment</w:t>
            </w:r>
          </w:p>
        </w:tc>
        <w:tc>
          <w:tcPr>
            <w:tcW w:w="4252" w:type="dxa"/>
            <w:shd w:val="clear" w:color="auto" w:fill="F2F2F2" w:themeFill="background1" w:themeFillShade="F2"/>
            <w:vAlign w:val="center"/>
          </w:tcPr>
          <w:p w14:paraId="101A48E3" w14:textId="132C9550"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5AA82706" w14:textId="77777777" w:rsidTr="00E66AA6">
        <w:tc>
          <w:tcPr>
            <w:tcW w:w="4252" w:type="dxa"/>
            <w:shd w:val="clear" w:color="auto" w:fill="F2F2F2" w:themeFill="background1" w:themeFillShade="F2"/>
            <w:vAlign w:val="center"/>
          </w:tcPr>
          <w:p w14:paraId="317A8B00"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Neutrophils &lt;0.5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during treatment</w:t>
            </w:r>
          </w:p>
        </w:tc>
        <w:tc>
          <w:tcPr>
            <w:tcW w:w="4252" w:type="dxa"/>
            <w:shd w:val="clear" w:color="auto" w:fill="F2F2F2" w:themeFill="background1" w:themeFillShade="F2"/>
            <w:vAlign w:val="center"/>
          </w:tcPr>
          <w:p w14:paraId="45334342" w14:textId="3068EBD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Senior review; consider pausing that day. If no recovery trend by 7 days despite pausing, discontinue course</w:t>
            </w:r>
          </w:p>
        </w:tc>
      </w:tr>
      <w:tr w:rsidR="00E85B6B" w:rsidRPr="00D41AFB" w14:paraId="016C0CF5" w14:textId="77777777" w:rsidTr="00E66AA6">
        <w:tc>
          <w:tcPr>
            <w:tcW w:w="4252" w:type="dxa"/>
            <w:shd w:val="clear" w:color="auto" w:fill="F2F2F2" w:themeFill="background1" w:themeFillShade="F2"/>
            <w:vAlign w:val="center"/>
          </w:tcPr>
          <w:p w14:paraId="7FEDE82B"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Lymphocytes &gt;1.0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before treatment</w:t>
            </w:r>
          </w:p>
        </w:tc>
        <w:tc>
          <w:tcPr>
            <w:tcW w:w="4252" w:type="dxa"/>
            <w:shd w:val="clear" w:color="auto" w:fill="F2F2F2" w:themeFill="background1" w:themeFillShade="F2"/>
            <w:vAlign w:val="center"/>
          </w:tcPr>
          <w:p w14:paraId="64F0B567" w14:textId="442C5F69"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486E51B1" w14:textId="77777777" w:rsidTr="00E66AA6">
        <w:tc>
          <w:tcPr>
            <w:tcW w:w="4252" w:type="dxa"/>
            <w:shd w:val="clear" w:color="auto" w:fill="F2F2F2" w:themeFill="background1" w:themeFillShade="F2"/>
            <w:vAlign w:val="center"/>
          </w:tcPr>
          <w:p w14:paraId="2939D2FF"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Lymphocytes &lt;0.5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during treatment</w:t>
            </w:r>
          </w:p>
        </w:tc>
        <w:tc>
          <w:tcPr>
            <w:tcW w:w="4252" w:type="dxa"/>
            <w:shd w:val="clear" w:color="auto" w:fill="F2F2F2" w:themeFill="background1" w:themeFillShade="F2"/>
            <w:vAlign w:val="center"/>
          </w:tcPr>
          <w:p w14:paraId="2A6038C3" w14:textId="755523D8"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Senior review; consider pausing that day. If no recovery trend by 7 days despite pausing, discontinue course</w:t>
            </w:r>
          </w:p>
        </w:tc>
      </w:tr>
      <w:tr w:rsidR="00E85B6B" w:rsidRPr="00D41AFB" w14:paraId="0D2E3551" w14:textId="77777777" w:rsidTr="00E66AA6">
        <w:tc>
          <w:tcPr>
            <w:tcW w:w="4252" w:type="dxa"/>
            <w:shd w:val="clear" w:color="auto" w:fill="F2F2F2" w:themeFill="background1" w:themeFillShade="F2"/>
            <w:vAlign w:val="center"/>
          </w:tcPr>
          <w:p w14:paraId="4B40C203"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Platelets &gt;150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before treatment</w:t>
            </w:r>
          </w:p>
        </w:tc>
        <w:tc>
          <w:tcPr>
            <w:tcW w:w="4252" w:type="dxa"/>
            <w:shd w:val="clear" w:color="auto" w:fill="F2F2F2" w:themeFill="background1" w:themeFillShade="F2"/>
            <w:vAlign w:val="center"/>
          </w:tcPr>
          <w:p w14:paraId="0E5FD2FF" w14:textId="5E4D1A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3576EB69" w14:textId="77777777" w:rsidTr="00E66AA6">
        <w:tc>
          <w:tcPr>
            <w:tcW w:w="4252" w:type="dxa"/>
            <w:shd w:val="clear" w:color="auto" w:fill="F2F2F2" w:themeFill="background1" w:themeFillShade="F2"/>
            <w:vAlign w:val="center"/>
          </w:tcPr>
          <w:p w14:paraId="40C00C23"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Platelets &lt;50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during treatment</w:t>
            </w:r>
          </w:p>
        </w:tc>
        <w:tc>
          <w:tcPr>
            <w:tcW w:w="4252" w:type="dxa"/>
            <w:shd w:val="clear" w:color="auto" w:fill="F2F2F2" w:themeFill="background1" w:themeFillShade="F2"/>
            <w:vAlign w:val="center"/>
          </w:tcPr>
          <w:p w14:paraId="229E7EE5" w14:textId="4EFD30F4"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Pause infusion until count increases. If no increase after 7 days despite pausing, discontinue course</w:t>
            </w:r>
          </w:p>
        </w:tc>
      </w:tr>
      <w:tr w:rsidR="00E85B6B" w:rsidRPr="00D41AFB" w14:paraId="600AB18C" w14:textId="77777777" w:rsidTr="00E66AA6">
        <w:tc>
          <w:tcPr>
            <w:tcW w:w="4252" w:type="dxa"/>
            <w:shd w:val="clear" w:color="auto" w:fill="F2F2F2" w:themeFill="background1" w:themeFillShade="F2"/>
            <w:vAlign w:val="center"/>
          </w:tcPr>
          <w:p w14:paraId="2E31FB47"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Hb &gt;100 g/L before treatment</w:t>
            </w:r>
          </w:p>
        </w:tc>
        <w:tc>
          <w:tcPr>
            <w:tcW w:w="4252" w:type="dxa"/>
            <w:shd w:val="clear" w:color="auto" w:fill="F2F2F2" w:themeFill="background1" w:themeFillShade="F2"/>
            <w:vAlign w:val="center"/>
          </w:tcPr>
          <w:p w14:paraId="4E81AE5B" w14:textId="624BE5CB"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125AC672" w14:textId="77777777" w:rsidTr="00E66AA6">
        <w:tc>
          <w:tcPr>
            <w:tcW w:w="4252" w:type="dxa"/>
            <w:shd w:val="clear" w:color="auto" w:fill="F2F2F2" w:themeFill="background1" w:themeFillShade="F2"/>
            <w:vAlign w:val="center"/>
          </w:tcPr>
          <w:p w14:paraId="154A358F"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lastRenderedPageBreak/>
              <w:t>Hb &lt;100 g/L during treatment</w:t>
            </w:r>
          </w:p>
        </w:tc>
        <w:tc>
          <w:tcPr>
            <w:tcW w:w="4252" w:type="dxa"/>
            <w:shd w:val="clear" w:color="auto" w:fill="F2F2F2" w:themeFill="background1" w:themeFillShade="F2"/>
            <w:vAlign w:val="center"/>
          </w:tcPr>
          <w:p w14:paraId="5AF55F6D" w14:textId="282504D5"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Pause and wait for Hb to reco</w:t>
            </w:r>
            <w:r w:rsidR="005B5B24" w:rsidRPr="00016158">
              <w:rPr>
                <w:rFonts w:ascii="Poppins" w:hAnsi="Poppins" w:cs="Poppins"/>
                <w:color w:val="000000" w:themeColor="text1"/>
                <w:sz w:val="18"/>
                <w:szCs w:val="18"/>
              </w:rPr>
              <w:t>ver. Discontinue if levels &lt;85 g/L</w:t>
            </w:r>
          </w:p>
        </w:tc>
      </w:tr>
    </w:tbl>
    <w:p w14:paraId="4CB92FFF" w14:textId="66B37E5A" w:rsidR="00E85B6B" w:rsidRDefault="00E85B6B" w:rsidP="00FB3452">
      <w:pPr>
        <w:spacing w:before="240" w:after="120" w:line="240" w:lineRule="auto"/>
        <w:rPr>
          <w:rFonts w:ascii="Poppins" w:eastAsia="Times New Roman" w:hAnsi="Poppins" w:cs="Poppins"/>
          <w:sz w:val="21"/>
          <w:szCs w:val="21"/>
          <w:lang w:eastAsia="en-GB"/>
        </w:rPr>
      </w:pPr>
      <w:r>
        <w:rPr>
          <w:rFonts w:ascii="Poppins" w:eastAsia="Times New Roman" w:hAnsi="Poppins" w:cs="Poppins"/>
          <w:sz w:val="21"/>
          <w:szCs w:val="21"/>
          <w:lang w:eastAsia="en-GB"/>
        </w:rPr>
        <w:t>Liver function tests</w:t>
      </w:r>
      <w:r w:rsidR="00141090">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41090">
        <w:rPr>
          <w:rFonts w:ascii="Poppins" w:eastAsia="Times New Roman" w:hAnsi="Poppins" w:cs="Poppins"/>
          <w:sz w:val="21"/>
          <w:szCs w:val="21"/>
          <w:lang w:eastAsia="en-GB"/>
        </w:rPr>
        <w:instrText xml:space="preserve"> ADDIN EN.CITE </w:instrText>
      </w:r>
      <w:r w:rsidR="00141090">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41090">
        <w:rPr>
          <w:rFonts w:ascii="Poppins" w:eastAsia="Times New Roman" w:hAnsi="Poppins" w:cs="Poppins"/>
          <w:sz w:val="21"/>
          <w:szCs w:val="21"/>
          <w:lang w:eastAsia="en-GB"/>
        </w:rPr>
        <w:instrText xml:space="preserve"> ADDIN EN.CITE.DATA </w:instrText>
      </w:r>
      <w:r w:rsidR="00141090">
        <w:rPr>
          <w:rFonts w:ascii="Poppins" w:eastAsia="Times New Roman" w:hAnsi="Poppins" w:cs="Poppins"/>
          <w:sz w:val="21"/>
          <w:szCs w:val="21"/>
          <w:lang w:eastAsia="en-GB"/>
        </w:rPr>
      </w:r>
      <w:r w:rsidR="00141090">
        <w:rPr>
          <w:rFonts w:ascii="Poppins" w:eastAsia="Times New Roman" w:hAnsi="Poppins" w:cs="Poppins"/>
          <w:sz w:val="21"/>
          <w:szCs w:val="21"/>
          <w:lang w:eastAsia="en-GB"/>
        </w:rPr>
        <w:fldChar w:fldCharType="end"/>
      </w:r>
      <w:r w:rsidR="00141090">
        <w:rPr>
          <w:rFonts w:ascii="Poppins" w:eastAsia="Times New Roman" w:hAnsi="Poppins" w:cs="Poppins"/>
          <w:sz w:val="21"/>
          <w:szCs w:val="21"/>
          <w:lang w:eastAsia="en-GB"/>
        </w:rPr>
      </w:r>
      <w:r w:rsidR="00141090">
        <w:rPr>
          <w:rFonts w:ascii="Poppins" w:eastAsia="Times New Roman" w:hAnsi="Poppins" w:cs="Poppins"/>
          <w:sz w:val="21"/>
          <w:szCs w:val="21"/>
          <w:lang w:eastAsia="en-GB"/>
        </w:rPr>
        <w:fldChar w:fldCharType="separate"/>
      </w:r>
      <w:r w:rsidR="00141090" w:rsidRPr="00141090">
        <w:rPr>
          <w:rFonts w:ascii="Poppins" w:eastAsia="Times New Roman" w:hAnsi="Poppins" w:cs="Poppins"/>
          <w:noProof/>
          <w:sz w:val="21"/>
          <w:szCs w:val="21"/>
          <w:vertAlign w:val="superscript"/>
          <w:lang w:eastAsia="en-GB"/>
        </w:rPr>
        <w:t>(Dias, 2026)</w:t>
      </w:r>
      <w:r w:rsidR="00141090">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t>:</w:t>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E85B6B" w:rsidRPr="00D41AFB" w14:paraId="352E1C2E" w14:textId="77777777" w:rsidTr="00E66AA6">
        <w:tc>
          <w:tcPr>
            <w:tcW w:w="4252" w:type="dxa"/>
            <w:shd w:val="clear" w:color="auto" w:fill="9FD8FF"/>
            <w:vAlign w:val="center"/>
          </w:tcPr>
          <w:p w14:paraId="6332248A"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Result</w:t>
            </w:r>
          </w:p>
        </w:tc>
        <w:tc>
          <w:tcPr>
            <w:tcW w:w="4252" w:type="dxa"/>
            <w:shd w:val="clear" w:color="auto" w:fill="9FD8FF"/>
            <w:vAlign w:val="center"/>
          </w:tcPr>
          <w:p w14:paraId="15B0A81D"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E85B6B" w:rsidRPr="00D41AFB" w14:paraId="69AD1DC2" w14:textId="77777777" w:rsidTr="00E66AA6">
        <w:tc>
          <w:tcPr>
            <w:tcW w:w="4252" w:type="dxa"/>
            <w:shd w:val="clear" w:color="auto" w:fill="F2F2F2" w:themeFill="background1" w:themeFillShade="F2"/>
            <w:vAlign w:val="center"/>
          </w:tcPr>
          <w:p w14:paraId="44FBDAAA"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and AST &lt;2 x ULN before treatment</w:t>
            </w:r>
          </w:p>
        </w:tc>
        <w:tc>
          <w:tcPr>
            <w:tcW w:w="4252" w:type="dxa"/>
            <w:shd w:val="clear" w:color="auto" w:fill="F2F2F2" w:themeFill="background1" w:themeFillShade="F2"/>
            <w:vAlign w:val="center"/>
          </w:tcPr>
          <w:p w14:paraId="0D009051" w14:textId="4DBCE69F"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7EFA3D5F" w14:textId="77777777" w:rsidTr="00E66AA6">
        <w:tc>
          <w:tcPr>
            <w:tcW w:w="4252" w:type="dxa"/>
            <w:shd w:val="clear" w:color="auto" w:fill="F2F2F2" w:themeFill="background1" w:themeFillShade="F2"/>
            <w:vAlign w:val="center"/>
          </w:tcPr>
          <w:p w14:paraId="315B8D5E"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Bilirubin &lt;1.5 x ULN before treatment</w:t>
            </w:r>
          </w:p>
        </w:tc>
        <w:tc>
          <w:tcPr>
            <w:tcW w:w="4252" w:type="dxa"/>
            <w:shd w:val="clear" w:color="auto" w:fill="F2F2F2" w:themeFill="background1" w:themeFillShade="F2"/>
            <w:vAlign w:val="center"/>
          </w:tcPr>
          <w:p w14:paraId="204B2C96" w14:textId="62E832E8"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4F79D1D5" w14:textId="77777777" w:rsidTr="00E66AA6">
        <w:tc>
          <w:tcPr>
            <w:tcW w:w="4252" w:type="dxa"/>
            <w:shd w:val="clear" w:color="auto" w:fill="F2F2F2" w:themeFill="background1" w:themeFillShade="F2"/>
            <w:vAlign w:val="center"/>
          </w:tcPr>
          <w:p w14:paraId="61115F45"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or AST ≥3 x ULN during treatment</w:t>
            </w:r>
          </w:p>
        </w:tc>
        <w:tc>
          <w:tcPr>
            <w:tcW w:w="4252" w:type="dxa"/>
            <w:shd w:val="clear" w:color="auto" w:fill="F2F2F2" w:themeFill="background1" w:themeFillShade="F2"/>
            <w:vAlign w:val="center"/>
          </w:tcPr>
          <w:p w14:paraId="7280BA59" w14:textId="00F5E3A0"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Pause infusion and monitor for recovery. Stop if no recovery after 3 days</w:t>
            </w:r>
          </w:p>
        </w:tc>
      </w:tr>
      <w:tr w:rsidR="00E85B6B" w:rsidRPr="00D41AFB" w14:paraId="4ED1E0D6" w14:textId="77777777" w:rsidTr="00E66AA6">
        <w:tc>
          <w:tcPr>
            <w:tcW w:w="4252" w:type="dxa"/>
            <w:shd w:val="clear" w:color="auto" w:fill="F2F2F2" w:themeFill="background1" w:themeFillShade="F2"/>
            <w:vAlign w:val="center"/>
          </w:tcPr>
          <w:p w14:paraId="0F73A8A1"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or AST ≥5 x ULN during treatment</w:t>
            </w:r>
          </w:p>
        </w:tc>
        <w:tc>
          <w:tcPr>
            <w:tcW w:w="4252" w:type="dxa"/>
            <w:shd w:val="clear" w:color="auto" w:fill="F2F2F2" w:themeFill="background1" w:themeFillShade="F2"/>
            <w:vAlign w:val="center"/>
          </w:tcPr>
          <w:p w14:paraId="6318F091" w14:textId="742A0F78"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course</w:t>
            </w:r>
          </w:p>
        </w:tc>
      </w:tr>
      <w:tr w:rsidR="00E85B6B" w:rsidRPr="00D41AFB" w14:paraId="49479ED3" w14:textId="77777777" w:rsidTr="00E66AA6">
        <w:tc>
          <w:tcPr>
            <w:tcW w:w="4252" w:type="dxa"/>
            <w:shd w:val="clear" w:color="auto" w:fill="F2F2F2" w:themeFill="background1" w:themeFillShade="F2"/>
            <w:vAlign w:val="center"/>
          </w:tcPr>
          <w:p w14:paraId="64AB5CBD"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Bilirubin ≥2 x ULN</w:t>
            </w:r>
          </w:p>
        </w:tc>
        <w:tc>
          <w:tcPr>
            <w:tcW w:w="4252" w:type="dxa"/>
            <w:shd w:val="clear" w:color="auto" w:fill="F2F2F2" w:themeFill="background1" w:themeFillShade="F2"/>
            <w:vAlign w:val="center"/>
          </w:tcPr>
          <w:p w14:paraId="1D11A730" w14:textId="0CA05E1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Pause infusion for that day; discontinue if no recovery after 3 days</w:t>
            </w:r>
          </w:p>
        </w:tc>
      </w:tr>
      <w:tr w:rsidR="00E85B6B" w:rsidRPr="00D41AFB" w14:paraId="53323385" w14:textId="77777777" w:rsidTr="00E66AA6">
        <w:tc>
          <w:tcPr>
            <w:tcW w:w="4252" w:type="dxa"/>
            <w:shd w:val="clear" w:color="auto" w:fill="F2F2F2" w:themeFill="background1" w:themeFillShade="F2"/>
            <w:vAlign w:val="center"/>
          </w:tcPr>
          <w:p w14:paraId="5BA4DBF1"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Bilirubin ≥3 x ULN</w:t>
            </w:r>
          </w:p>
        </w:tc>
        <w:tc>
          <w:tcPr>
            <w:tcW w:w="4252" w:type="dxa"/>
            <w:shd w:val="clear" w:color="auto" w:fill="F2F2F2" w:themeFill="background1" w:themeFillShade="F2"/>
            <w:vAlign w:val="center"/>
          </w:tcPr>
          <w:p w14:paraId="5E969DD7" w14:textId="7F466228"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course</w:t>
            </w:r>
          </w:p>
        </w:tc>
      </w:tr>
      <w:tr w:rsidR="009A1C14" w:rsidRPr="00D41AFB" w14:paraId="2FA08B7D" w14:textId="77777777" w:rsidTr="00E66AA6">
        <w:tc>
          <w:tcPr>
            <w:tcW w:w="4252" w:type="dxa"/>
            <w:shd w:val="clear" w:color="auto" w:fill="F2F2F2" w:themeFill="background1" w:themeFillShade="F2"/>
            <w:vAlign w:val="center"/>
          </w:tcPr>
          <w:p w14:paraId="6E7A66CE" w14:textId="734C68C8"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or AST ≥3 x ULN during treatment AND Bilirubin ≥2 x ULN</w:t>
            </w:r>
          </w:p>
        </w:tc>
        <w:tc>
          <w:tcPr>
            <w:tcW w:w="4252" w:type="dxa"/>
            <w:shd w:val="clear" w:color="auto" w:fill="F2F2F2" w:themeFill="background1" w:themeFillShade="F2"/>
            <w:vAlign w:val="center"/>
          </w:tcPr>
          <w:p w14:paraId="68C6D9DB" w14:textId="18F07C62"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course</w:t>
            </w:r>
          </w:p>
        </w:tc>
      </w:tr>
    </w:tbl>
    <w:p w14:paraId="646BEBC6" w14:textId="0FE976A5" w:rsidR="00E85B6B" w:rsidRDefault="00141090" w:rsidP="00016158">
      <w:pPr>
        <w:spacing w:before="240" w:after="120" w:line="240" w:lineRule="auto"/>
        <w:rPr>
          <w:rFonts w:ascii="Poppins" w:eastAsia="Times New Roman" w:hAnsi="Poppins" w:cs="Poppins"/>
          <w:sz w:val="21"/>
          <w:szCs w:val="21"/>
          <w:lang w:eastAsia="en-GB"/>
        </w:rPr>
      </w:pPr>
      <w:r>
        <w:rPr>
          <w:rFonts w:ascii="Poppins" w:eastAsia="Times New Roman" w:hAnsi="Poppins" w:cs="Poppins"/>
          <w:sz w:val="21"/>
          <w:szCs w:val="21"/>
          <w:lang w:eastAsia="en-GB"/>
        </w:rPr>
        <w:t>Infection and viral findings</w: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 </w:instrTex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EN.CITE.DATA </w:instrText>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separate"/>
      </w:r>
      <w:r w:rsidRPr="00141090">
        <w:rPr>
          <w:rFonts w:ascii="Poppins" w:eastAsia="Times New Roman" w:hAnsi="Poppins" w:cs="Poppins"/>
          <w:noProof/>
          <w:sz w:val="21"/>
          <w:szCs w:val="21"/>
          <w:vertAlign w:val="superscript"/>
          <w:lang w:eastAsia="en-GB"/>
        </w:rPr>
        <w:t>(Dias, 2026)</w:t>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t>:</w:t>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9A1C14" w:rsidRPr="00D41AFB" w14:paraId="4412BD36" w14:textId="77777777" w:rsidTr="00E66AA6">
        <w:trPr>
          <w:tblHeader/>
        </w:trPr>
        <w:tc>
          <w:tcPr>
            <w:tcW w:w="4252" w:type="dxa"/>
            <w:shd w:val="clear" w:color="auto" w:fill="9FD8FF"/>
            <w:vAlign w:val="center"/>
          </w:tcPr>
          <w:p w14:paraId="2EA12459" w14:textId="1BB9B944" w:rsidR="009A1C14" w:rsidRPr="00016158" w:rsidRDefault="00BF7524" w:rsidP="00F45610">
            <w:pPr>
              <w:spacing w:before="120" w:after="120"/>
              <w:rPr>
                <w:rFonts w:ascii="Poppins" w:eastAsia="Times New Roman" w:hAnsi="Poppins" w:cs="Poppins"/>
                <w:b/>
                <w:bCs/>
                <w:color w:val="0023C8"/>
                <w:sz w:val="20"/>
                <w:szCs w:val="20"/>
                <w:lang w:eastAsia="en-GB"/>
              </w:rPr>
            </w:pPr>
            <w:r>
              <w:rPr>
                <w:rFonts w:ascii="Poppins" w:eastAsia="Times New Roman" w:hAnsi="Poppins" w:cs="Poppins"/>
                <w:b/>
                <w:bCs/>
                <w:color w:val="0023C8"/>
                <w:sz w:val="20"/>
                <w:szCs w:val="20"/>
                <w:lang w:eastAsia="en-GB"/>
              </w:rPr>
              <w:t>Potential adverse effect</w:t>
            </w:r>
          </w:p>
        </w:tc>
        <w:tc>
          <w:tcPr>
            <w:tcW w:w="4252" w:type="dxa"/>
            <w:shd w:val="clear" w:color="auto" w:fill="9FD8FF"/>
            <w:vAlign w:val="center"/>
          </w:tcPr>
          <w:p w14:paraId="76FC31E3" w14:textId="77777777" w:rsidR="009A1C14" w:rsidRPr="00016158" w:rsidRDefault="009A1C14"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9A1C14" w:rsidRPr="00D41AFB" w14:paraId="0A75385F" w14:textId="77777777" w:rsidTr="00E66AA6">
        <w:tc>
          <w:tcPr>
            <w:tcW w:w="4252" w:type="dxa"/>
            <w:shd w:val="clear" w:color="auto" w:fill="F2F2F2" w:themeFill="background1" w:themeFillShade="F2"/>
            <w:vAlign w:val="center"/>
          </w:tcPr>
          <w:p w14:paraId="1DF1A240" w14:textId="1FC93785"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 xml:space="preserve">Mild </w:t>
            </w:r>
            <w:r w:rsidR="004C4E06">
              <w:rPr>
                <w:rFonts w:ascii="Poppins" w:hAnsi="Poppins" w:cs="Poppins"/>
                <w:color w:val="000000" w:themeColor="text1"/>
                <w:sz w:val="18"/>
                <w:szCs w:val="18"/>
              </w:rPr>
              <w:t xml:space="preserve">infection, e.g., </w:t>
            </w:r>
            <w:r w:rsidRPr="00016158">
              <w:rPr>
                <w:rFonts w:ascii="Poppins" w:hAnsi="Poppins" w:cs="Poppins"/>
                <w:color w:val="000000" w:themeColor="text1"/>
                <w:sz w:val="18"/>
                <w:szCs w:val="18"/>
              </w:rPr>
              <w:t>viral URTI</w:t>
            </w:r>
          </w:p>
        </w:tc>
        <w:tc>
          <w:tcPr>
            <w:tcW w:w="4252" w:type="dxa"/>
            <w:shd w:val="clear" w:color="auto" w:fill="F2F2F2" w:themeFill="background1" w:themeFillShade="F2"/>
            <w:vAlign w:val="center"/>
          </w:tcPr>
          <w:p w14:paraId="59EA3EB9" w14:textId="657DD4B0" w:rsidR="009A1C14" w:rsidRPr="00016158" w:rsidRDefault="00105DBE" w:rsidP="00105DBE">
            <w:pPr>
              <w:spacing w:before="40" w:after="40"/>
              <w:rPr>
                <w:rFonts w:ascii="Poppins" w:hAnsi="Poppins" w:cs="Poppins"/>
                <w:color w:val="000000" w:themeColor="text1"/>
                <w:sz w:val="18"/>
                <w:szCs w:val="18"/>
              </w:rPr>
            </w:pPr>
            <w:r w:rsidRPr="00105DBE">
              <w:rPr>
                <w:rFonts w:ascii="Poppins" w:hAnsi="Poppins" w:cs="Poppins"/>
                <w:color w:val="000000" w:themeColor="text1"/>
                <w:sz w:val="18"/>
                <w:szCs w:val="18"/>
              </w:rPr>
              <w:t>Treat symptomatically &amp; consider pausing infusion</w:t>
            </w:r>
            <w:r>
              <w:rPr>
                <w:rFonts w:ascii="Poppins" w:hAnsi="Poppins" w:cs="Poppins"/>
                <w:color w:val="000000" w:themeColor="text1"/>
                <w:sz w:val="18"/>
                <w:szCs w:val="18"/>
              </w:rPr>
              <w:t xml:space="preserve"> </w:t>
            </w:r>
            <w:r w:rsidRPr="00105DBE">
              <w:rPr>
                <w:rFonts w:ascii="Poppins" w:hAnsi="Poppins" w:cs="Poppins"/>
                <w:color w:val="000000" w:themeColor="text1"/>
                <w:sz w:val="18"/>
                <w:szCs w:val="18"/>
              </w:rPr>
              <w:t>depending on clinical evaluation (e.g., appears unwell, fever,</w:t>
            </w:r>
            <w:r>
              <w:rPr>
                <w:rFonts w:ascii="Poppins" w:hAnsi="Poppins" w:cs="Poppins"/>
                <w:color w:val="000000" w:themeColor="text1"/>
                <w:sz w:val="18"/>
                <w:szCs w:val="18"/>
              </w:rPr>
              <w:t xml:space="preserve"> </w:t>
            </w:r>
            <w:r w:rsidRPr="00105DBE">
              <w:rPr>
                <w:rFonts w:ascii="Poppins" w:hAnsi="Poppins" w:cs="Poppins"/>
                <w:color w:val="000000" w:themeColor="text1"/>
                <w:sz w:val="18"/>
                <w:szCs w:val="18"/>
              </w:rPr>
              <w:t>abnormal CRP)</w:t>
            </w:r>
          </w:p>
        </w:tc>
      </w:tr>
      <w:tr w:rsidR="009A1C14" w:rsidRPr="00D41AFB" w14:paraId="1D870D98" w14:textId="77777777" w:rsidTr="00E66AA6">
        <w:tc>
          <w:tcPr>
            <w:tcW w:w="4252" w:type="dxa"/>
            <w:shd w:val="clear" w:color="auto" w:fill="F2F2F2" w:themeFill="background1" w:themeFillShade="F2"/>
            <w:vAlign w:val="center"/>
          </w:tcPr>
          <w:p w14:paraId="4E003CF9" w14:textId="03EFF483" w:rsidR="009A1C14" w:rsidRPr="00016158" w:rsidRDefault="005037C3" w:rsidP="00016158">
            <w:pPr>
              <w:spacing w:before="40" w:after="40"/>
              <w:rPr>
                <w:rFonts w:ascii="Poppins" w:hAnsi="Poppins" w:cs="Poppins"/>
                <w:color w:val="000000" w:themeColor="text1"/>
                <w:sz w:val="18"/>
                <w:szCs w:val="18"/>
              </w:rPr>
            </w:pPr>
            <w:r>
              <w:rPr>
                <w:rFonts w:ascii="Poppins" w:hAnsi="Poppins" w:cs="Poppins"/>
                <w:color w:val="000000" w:themeColor="text1"/>
                <w:sz w:val="18"/>
                <w:szCs w:val="18"/>
              </w:rPr>
              <w:t>EBV and CMV</w:t>
            </w:r>
          </w:p>
        </w:tc>
        <w:tc>
          <w:tcPr>
            <w:tcW w:w="4252" w:type="dxa"/>
            <w:shd w:val="clear" w:color="auto" w:fill="F2F2F2" w:themeFill="background1" w:themeFillShade="F2"/>
            <w:vAlign w:val="center"/>
          </w:tcPr>
          <w:p w14:paraId="7A2FF997" w14:textId="6E403F4B" w:rsidR="009A1C14" w:rsidRPr="00016158" w:rsidRDefault="000F5F8E" w:rsidP="00567710">
            <w:pPr>
              <w:spacing w:before="40" w:after="40"/>
              <w:rPr>
                <w:rFonts w:ascii="Poppins" w:hAnsi="Poppins" w:cs="Poppins"/>
                <w:color w:val="000000" w:themeColor="text1"/>
                <w:sz w:val="18"/>
                <w:szCs w:val="18"/>
              </w:rPr>
            </w:pPr>
            <w:r w:rsidRPr="000F5F8E">
              <w:rPr>
                <w:rFonts w:ascii="Poppins" w:hAnsi="Poppins" w:cs="Poppins"/>
                <w:color w:val="000000" w:themeColor="text1"/>
                <w:sz w:val="18"/>
                <w:szCs w:val="18"/>
                <w:lang w:val="en-US"/>
              </w:rPr>
              <w:t>If positive PCR on screening, do not treat with teplizumab</w:t>
            </w:r>
            <w:r>
              <w:rPr>
                <w:rFonts w:ascii="Poppins" w:hAnsi="Poppins" w:cs="Poppins"/>
                <w:color w:val="000000" w:themeColor="text1"/>
                <w:sz w:val="18"/>
                <w:szCs w:val="18"/>
                <w:lang w:val="en-US"/>
              </w:rPr>
              <w:t xml:space="preserve">. </w:t>
            </w:r>
            <w:r w:rsidR="00567710" w:rsidRPr="00567710">
              <w:rPr>
                <w:rFonts w:ascii="Poppins" w:hAnsi="Poppins" w:cs="Poppins"/>
                <w:color w:val="000000" w:themeColor="text1"/>
                <w:sz w:val="18"/>
                <w:szCs w:val="18"/>
                <w:lang w:val="en-US"/>
              </w:rPr>
              <w:t>No need to monitor during infusions, if no viraemia prior</w:t>
            </w:r>
            <w:r w:rsidR="00567710">
              <w:rPr>
                <w:rFonts w:ascii="Poppins" w:hAnsi="Poppins" w:cs="Poppins"/>
                <w:color w:val="000000" w:themeColor="text1"/>
                <w:sz w:val="18"/>
                <w:szCs w:val="18"/>
                <w:lang w:val="en-US"/>
              </w:rPr>
              <w:t xml:space="preserve"> </w:t>
            </w:r>
            <w:r w:rsidR="00567710" w:rsidRPr="00567710">
              <w:rPr>
                <w:rFonts w:ascii="Poppins" w:hAnsi="Poppins" w:cs="Poppins"/>
                <w:color w:val="000000" w:themeColor="text1"/>
                <w:sz w:val="18"/>
                <w:szCs w:val="18"/>
                <w:lang w:val="en-US"/>
              </w:rPr>
              <w:t>to treatment, unless symptomatic</w:t>
            </w:r>
          </w:p>
        </w:tc>
      </w:tr>
      <w:tr w:rsidR="00093877" w:rsidRPr="00D41AFB" w14:paraId="3D46CEC3" w14:textId="77777777" w:rsidTr="00320DC0">
        <w:tc>
          <w:tcPr>
            <w:tcW w:w="8504" w:type="dxa"/>
            <w:gridSpan w:val="2"/>
            <w:shd w:val="clear" w:color="auto" w:fill="F2F2F2" w:themeFill="background1" w:themeFillShade="F2"/>
            <w:vAlign w:val="center"/>
          </w:tcPr>
          <w:p w14:paraId="534FF3BF" w14:textId="0665A388" w:rsidR="00093877" w:rsidRPr="00016158" w:rsidRDefault="00093877" w:rsidP="00016158">
            <w:pPr>
              <w:spacing w:before="40" w:after="40"/>
              <w:rPr>
                <w:rFonts w:ascii="Poppins" w:hAnsi="Poppins" w:cs="Poppins"/>
                <w:color w:val="000000" w:themeColor="text1"/>
                <w:sz w:val="18"/>
                <w:szCs w:val="18"/>
              </w:rPr>
            </w:pPr>
            <w:r>
              <w:rPr>
                <w:rFonts w:ascii="Poppins" w:hAnsi="Poppins" w:cs="Poppins"/>
                <w:color w:val="000000" w:themeColor="text1"/>
                <w:sz w:val="18"/>
                <w:szCs w:val="18"/>
              </w:rPr>
              <w:t>Cytokine Release Syndrome (CRS)</w:t>
            </w:r>
            <w:r w:rsidR="004D3DE7">
              <w:rPr>
                <w:rFonts w:ascii="Poppins" w:hAnsi="Poppins" w:cs="Poppins"/>
                <w:color w:val="000000" w:themeColor="text1"/>
                <w:sz w:val="18"/>
                <w:szCs w:val="18"/>
              </w:rPr>
              <w:t>:</w:t>
            </w:r>
          </w:p>
        </w:tc>
      </w:tr>
      <w:tr w:rsidR="009A1C14" w:rsidRPr="00D41AFB" w14:paraId="765F1411" w14:textId="77777777" w:rsidTr="00E66AA6">
        <w:tc>
          <w:tcPr>
            <w:tcW w:w="4252" w:type="dxa"/>
            <w:shd w:val="clear" w:color="auto" w:fill="F2F2F2" w:themeFill="background1" w:themeFillShade="F2"/>
            <w:vAlign w:val="center"/>
          </w:tcPr>
          <w:p w14:paraId="6076E9A7" w14:textId="468EEBE6" w:rsidR="009A1C14" w:rsidRPr="00016158" w:rsidRDefault="004D3DE7" w:rsidP="00016158">
            <w:pPr>
              <w:spacing w:before="40" w:after="40"/>
              <w:rPr>
                <w:rFonts w:ascii="Poppins" w:hAnsi="Poppins" w:cs="Poppins"/>
                <w:color w:val="000000" w:themeColor="text1"/>
                <w:sz w:val="18"/>
                <w:szCs w:val="18"/>
              </w:rPr>
            </w:pPr>
            <w:r>
              <w:rPr>
                <w:rFonts w:ascii="Poppins" w:hAnsi="Poppins" w:cs="Poppins"/>
                <w:color w:val="000000" w:themeColor="text1"/>
                <w:sz w:val="18"/>
                <w:szCs w:val="18"/>
              </w:rPr>
              <w:t>Fever</w:t>
            </w:r>
          </w:p>
        </w:tc>
        <w:tc>
          <w:tcPr>
            <w:tcW w:w="4252" w:type="dxa"/>
            <w:shd w:val="clear" w:color="auto" w:fill="F2F2F2" w:themeFill="background1" w:themeFillShade="F2"/>
            <w:vAlign w:val="center"/>
          </w:tcPr>
          <w:p w14:paraId="398C154C" w14:textId="6D7D4059" w:rsidR="00B13A87" w:rsidRPr="00B13A87" w:rsidRDefault="00B13A87" w:rsidP="00B13A87">
            <w:pPr>
              <w:spacing w:before="40" w:after="40"/>
              <w:rPr>
                <w:rFonts w:ascii="Poppins" w:hAnsi="Poppins" w:cs="Poppins"/>
                <w:color w:val="000000" w:themeColor="text1"/>
                <w:sz w:val="18"/>
                <w:szCs w:val="18"/>
              </w:rPr>
            </w:pPr>
            <w:r w:rsidRPr="00B13A87">
              <w:rPr>
                <w:rFonts w:ascii="Poppins" w:hAnsi="Poppins" w:cs="Poppins"/>
                <w:color w:val="000000" w:themeColor="text1"/>
                <w:sz w:val="18"/>
                <w:szCs w:val="18"/>
              </w:rPr>
              <w:t xml:space="preserve">Pause infusion if febrile. Treat with </w:t>
            </w:r>
            <w:r>
              <w:rPr>
                <w:rFonts w:ascii="Poppins" w:hAnsi="Poppins" w:cs="Poppins"/>
                <w:color w:val="000000" w:themeColor="text1"/>
                <w:sz w:val="18"/>
                <w:szCs w:val="18"/>
              </w:rPr>
              <w:t xml:space="preserve">            </w:t>
            </w:r>
            <w:r w:rsidRPr="00B13A87">
              <w:rPr>
                <w:rFonts w:ascii="Poppins" w:hAnsi="Poppins" w:cs="Poppins"/>
                <w:color w:val="000000" w:themeColor="text1"/>
                <w:sz w:val="18"/>
                <w:szCs w:val="18"/>
              </w:rPr>
              <w:t>anti-</w:t>
            </w:r>
            <w:r>
              <w:rPr>
                <w:rFonts w:ascii="Poppins" w:hAnsi="Poppins" w:cs="Poppins"/>
                <w:color w:val="000000" w:themeColor="text1"/>
                <w:sz w:val="18"/>
                <w:szCs w:val="18"/>
              </w:rPr>
              <w:t>p</w:t>
            </w:r>
            <w:r w:rsidRPr="00B13A87">
              <w:rPr>
                <w:rFonts w:ascii="Poppins" w:hAnsi="Poppins" w:cs="Poppins"/>
                <w:color w:val="000000" w:themeColor="text1"/>
                <w:sz w:val="18"/>
                <w:szCs w:val="18"/>
              </w:rPr>
              <w:t>yretics</w:t>
            </w:r>
            <w:r w:rsidR="00B15472">
              <w:rPr>
                <w:rFonts w:ascii="Poppins" w:hAnsi="Poppins" w:cs="Poppins"/>
                <w:color w:val="000000" w:themeColor="text1"/>
                <w:sz w:val="18"/>
                <w:szCs w:val="18"/>
              </w:rPr>
              <w:t>.</w:t>
            </w:r>
          </w:p>
          <w:p w14:paraId="4DD73D39" w14:textId="169A2D3C" w:rsidR="00B13A87" w:rsidRPr="00B13A87" w:rsidRDefault="00B13A87" w:rsidP="00B13A87">
            <w:pPr>
              <w:spacing w:before="40" w:after="40"/>
              <w:rPr>
                <w:rFonts w:ascii="Poppins" w:hAnsi="Poppins" w:cs="Poppins"/>
                <w:color w:val="000000" w:themeColor="text1"/>
                <w:sz w:val="18"/>
                <w:szCs w:val="18"/>
              </w:rPr>
            </w:pPr>
            <w:r w:rsidRPr="00B13A87">
              <w:rPr>
                <w:rFonts w:ascii="Poppins" w:hAnsi="Poppins" w:cs="Poppins"/>
                <w:color w:val="000000" w:themeColor="text1"/>
                <w:sz w:val="18"/>
                <w:szCs w:val="18"/>
              </w:rPr>
              <w:t>If fever resolves within &lt;48 h and clinically well, continue</w:t>
            </w:r>
            <w:r w:rsidR="00B15472">
              <w:rPr>
                <w:rFonts w:ascii="Poppins" w:hAnsi="Poppins" w:cs="Poppins"/>
                <w:color w:val="000000" w:themeColor="text1"/>
                <w:sz w:val="18"/>
                <w:szCs w:val="18"/>
              </w:rPr>
              <w:t xml:space="preserve"> </w:t>
            </w:r>
            <w:r w:rsidRPr="00B13A87">
              <w:rPr>
                <w:rFonts w:ascii="Poppins" w:hAnsi="Poppins" w:cs="Poppins"/>
                <w:color w:val="000000" w:themeColor="text1"/>
                <w:sz w:val="18"/>
                <w:szCs w:val="18"/>
              </w:rPr>
              <w:t>infusion course</w:t>
            </w:r>
            <w:r w:rsidR="00B15472">
              <w:rPr>
                <w:rFonts w:ascii="Poppins" w:hAnsi="Poppins" w:cs="Poppins"/>
                <w:color w:val="000000" w:themeColor="text1"/>
                <w:sz w:val="18"/>
                <w:szCs w:val="18"/>
              </w:rPr>
              <w:t>.</w:t>
            </w:r>
          </w:p>
          <w:p w14:paraId="4CEE8B33" w14:textId="56423DBF" w:rsidR="009A1C14" w:rsidRPr="00016158" w:rsidRDefault="00B13A87" w:rsidP="00B15472">
            <w:pPr>
              <w:spacing w:before="40" w:after="40"/>
              <w:rPr>
                <w:rFonts w:ascii="Poppins" w:hAnsi="Poppins" w:cs="Poppins"/>
                <w:color w:val="000000" w:themeColor="text1"/>
                <w:sz w:val="18"/>
                <w:szCs w:val="18"/>
              </w:rPr>
            </w:pPr>
            <w:r w:rsidRPr="00B13A87">
              <w:rPr>
                <w:rFonts w:ascii="Poppins" w:hAnsi="Poppins" w:cs="Poppins"/>
                <w:color w:val="000000" w:themeColor="text1"/>
                <w:sz w:val="18"/>
                <w:szCs w:val="18"/>
              </w:rPr>
              <w:t>If fever persists &gt;48 h, discontinue infusions and consider</w:t>
            </w:r>
            <w:r w:rsidR="00B15472">
              <w:rPr>
                <w:rFonts w:ascii="Poppins" w:hAnsi="Poppins" w:cs="Poppins"/>
                <w:color w:val="000000" w:themeColor="text1"/>
                <w:sz w:val="18"/>
                <w:szCs w:val="18"/>
              </w:rPr>
              <w:t xml:space="preserve"> </w:t>
            </w:r>
            <w:r w:rsidRPr="00B13A87">
              <w:rPr>
                <w:rFonts w:ascii="Poppins" w:hAnsi="Poppins" w:cs="Poppins"/>
                <w:color w:val="000000" w:themeColor="text1"/>
                <w:sz w:val="18"/>
                <w:szCs w:val="18"/>
              </w:rPr>
              <w:t xml:space="preserve">additional treatment (e.g., </w:t>
            </w:r>
            <w:r w:rsidR="00B15472">
              <w:rPr>
                <w:rFonts w:ascii="Poppins" w:hAnsi="Poppins" w:cs="Poppins"/>
                <w:color w:val="000000" w:themeColor="text1"/>
                <w:sz w:val="18"/>
                <w:szCs w:val="18"/>
              </w:rPr>
              <w:t>cortico</w:t>
            </w:r>
            <w:r w:rsidRPr="00B13A87">
              <w:rPr>
                <w:rFonts w:ascii="Poppins" w:hAnsi="Poppins" w:cs="Poppins"/>
                <w:color w:val="000000" w:themeColor="text1"/>
                <w:sz w:val="18"/>
                <w:szCs w:val="18"/>
              </w:rPr>
              <w:t>steroids)</w:t>
            </w:r>
          </w:p>
        </w:tc>
      </w:tr>
      <w:tr w:rsidR="009A1C14" w:rsidRPr="00D41AFB" w14:paraId="7FC96BBE" w14:textId="77777777" w:rsidTr="00E66AA6">
        <w:tc>
          <w:tcPr>
            <w:tcW w:w="4252" w:type="dxa"/>
            <w:shd w:val="clear" w:color="auto" w:fill="F2F2F2" w:themeFill="background1" w:themeFillShade="F2"/>
            <w:vAlign w:val="center"/>
          </w:tcPr>
          <w:p w14:paraId="3891C9A3" w14:textId="2561381B" w:rsidR="009A1C14" w:rsidRPr="00016158" w:rsidRDefault="0067275F" w:rsidP="00016158">
            <w:pPr>
              <w:spacing w:before="40" w:after="40"/>
              <w:rPr>
                <w:rFonts w:ascii="Poppins" w:hAnsi="Poppins" w:cs="Poppins"/>
                <w:color w:val="000000" w:themeColor="text1"/>
                <w:sz w:val="18"/>
                <w:szCs w:val="18"/>
              </w:rPr>
            </w:pPr>
            <w:r>
              <w:rPr>
                <w:rFonts w:ascii="Poppins" w:hAnsi="Poppins" w:cs="Poppins"/>
                <w:color w:val="000000" w:themeColor="text1"/>
                <w:sz w:val="18"/>
                <w:szCs w:val="18"/>
              </w:rPr>
              <w:t>Mild (88% of all CRS)</w:t>
            </w:r>
          </w:p>
        </w:tc>
        <w:tc>
          <w:tcPr>
            <w:tcW w:w="4252" w:type="dxa"/>
            <w:shd w:val="clear" w:color="auto" w:fill="F2F2F2" w:themeFill="background1" w:themeFillShade="F2"/>
            <w:vAlign w:val="center"/>
          </w:tcPr>
          <w:p w14:paraId="58C3CE5A" w14:textId="02FAC6E4" w:rsidR="003C7BA0" w:rsidRPr="003C7BA0" w:rsidRDefault="003C7BA0" w:rsidP="003C7BA0">
            <w:pPr>
              <w:spacing w:before="40" w:after="40"/>
              <w:rPr>
                <w:rFonts w:ascii="Poppins" w:hAnsi="Poppins" w:cs="Poppins"/>
                <w:color w:val="000000" w:themeColor="text1"/>
                <w:sz w:val="18"/>
                <w:szCs w:val="18"/>
                <w:lang w:val="en-US"/>
              </w:rPr>
            </w:pPr>
            <w:r w:rsidRPr="003C7BA0">
              <w:rPr>
                <w:rFonts w:ascii="Poppins" w:hAnsi="Poppins" w:cs="Poppins"/>
                <w:color w:val="000000" w:themeColor="text1"/>
                <w:sz w:val="18"/>
                <w:szCs w:val="18"/>
                <w:lang w:val="en-US"/>
              </w:rPr>
              <w:t>Pause infusion and consider additional treatment (e.g.,</w:t>
            </w:r>
            <w:r>
              <w:rPr>
                <w:rFonts w:ascii="Poppins" w:hAnsi="Poppins" w:cs="Poppins"/>
                <w:color w:val="000000" w:themeColor="text1"/>
                <w:sz w:val="18"/>
                <w:szCs w:val="18"/>
                <w:lang w:val="en-US"/>
              </w:rPr>
              <w:t xml:space="preserve"> </w:t>
            </w:r>
            <w:r w:rsidR="000B14CE">
              <w:rPr>
                <w:rFonts w:ascii="Poppins" w:hAnsi="Poppins" w:cs="Poppins"/>
                <w:color w:val="000000" w:themeColor="text1"/>
                <w:sz w:val="18"/>
                <w:szCs w:val="18"/>
                <w:lang w:val="en-US"/>
              </w:rPr>
              <w:t>cortico</w:t>
            </w:r>
            <w:r w:rsidRPr="003C7BA0">
              <w:rPr>
                <w:rFonts w:ascii="Poppins" w:hAnsi="Poppins" w:cs="Poppins"/>
                <w:color w:val="000000" w:themeColor="text1"/>
                <w:sz w:val="18"/>
                <w:szCs w:val="18"/>
                <w:lang w:val="en-US"/>
              </w:rPr>
              <w:t>steroids) if unwell. Rash may be a feature of CRS, but not all</w:t>
            </w:r>
          </w:p>
          <w:p w14:paraId="6AD03A52" w14:textId="69ACB945" w:rsidR="003C7BA0" w:rsidRPr="003C7BA0" w:rsidRDefault="003C7BA0" w:rsidP="003C7BA0">
            <w:pPr>
              <w:spacing w:before="40" w:after="40"/>
              <w:rPr>
                <w:rFonts w:ascii="Poppins" w:hAnsi="Poppins" w:cs="Poppins"/>
                <w:color w:val="000000" w:themeColor="text1"/>
                <w:sz w:val="18"/>
                <w:szCs w:val="18"/>
                <w:lang w:val="en-US"/>
              </w:rPr>
            </w:pPr>
            <w:r w:rsidRPr="003C7BA0">
              <w:rPr>
                <w:rFonts w:ascii="Poppins" w:hAnsi="Poppins" w:cs="Poppins"/>
                <w:color w:val="000000" w:themeColor="text1"/>
                <w:sz w:val="18"/>
                <w:szCs w:val="18"/>
                <w:lang w:val="en-US"/>
              </w:rPr>
              <w:t>rashes represent CRS</w:t>
            </w:r>
            <w:r w:rsidR="000B14CE">
              <w:rPr>
                <w:rFonts w:ascii="Poppins" w:hAnsi="Poppins" w:cs="Poppins"/>
                <w:color w:val="000000" w:themeColor="text1"/>
                <w:sz w:val="18"/>
                <w:szCs w:val="18"/>
                <w:lang w:val="en-US"/>
              </w:rPr>
              <w:t>.</w:t>
            </w:r>
          </w:p>
          <w:p w14:paraId="4BF136A0" w14:textId="515A3DA5" w:rsidR="009A1C14" w:rsidRPr="00016158" w:rsidRDefault="003C7BA0" w:rsidP="003C7BA0">
            <w:pPr>
              <w:spacing w:before="40" w:after="40"/>
              <w:rPr>
                <w:rFonts w:ascii="Poppins" w:hAnsi="Poppins" w:cs="Poppins"/>
                <w:color w:val="000000" w:themeColor="text1"/>
                <w:sz w:val="18"/>
                <w:szCs w:val="18"/>
              </w:rPr>
            </w:pPr>
            <w:r w:rsidRPr="003C7BA0">
              <w:rPr>
                <w:rFonts w:ascii="Poppins" w:hAnsi="Poppins" w:cs="Poppins"/>
                <w:color w:val="000000" w:themeColor="text1"/>
                <w:sz w:val="18"/>
                <w:szCs w:val="18"/>
                <w:lang w:val="en-US"/>
              </w:rPr>
              <w:lastRenderedPageBreak/>
              <w:t>If persists for &gt;2 days, discontinue infusion</w:t>
            </w:r>
          </w:p>
        </w:tc>
      </w:tr>
      <w:tr w:rsidR="00BF7524" w:rsidRPr="00D41AFB" w14:paraId="481703A9" w14:textId="77777777" w:rsidTr="00E66AA6">
        <w:tc>
          <w:tcPr>
            <w:tcW w:w="4252" w:type="dxa"/>
            <w:shd w:val="clear" w:color="auto" w:fill="F2F2F2" w:themeFill="background1" w:themeFillShade="F2"/>
            <w:vAlign w:val="center"/>
          </w:tcPr>
          <w:p w14:paraId="612A2461" w14:textId="72CA64CD" w:rsidR="00BF7524" w:rsidRPr="00016158" w:rsidRDefault="000B14CE" w:rsidP="00016158">
            <w:pPr>
              <w:spacing w:before="40" w:after="40"/>
              <w:rPr>
                <w:rFonts w:ascii="Poppins" w:hAnsi="Poppins" w:cs="Poppins"/>
                <w:color w:val="000000" w:themeColor="text1"/>
                <w:sz w:val="18"/>
                <w:szCs w:val="18"/>
              </w:rPr>
            </w:pPr>
            <w:r>
              <w:rPr>
                <w:rFonts w:ascii="Poppins" w:hAnsi="Poppins" w:cs="Poppins"/>
                <w:color w:val="000000" w:themeColor="text1"/>
                <w:sz w:val="18"/>
                <w:szCs w:val="18"/>
              </w:rPr>
              <w:lastRenderedPageBreak/>
              <w:t>Severe</w:t>
            </w:r>
          </w:p>
        </w:tc>
        <w:tc>
          <w:tcPr>
            <w:tcW w:w="4252" w:type="dxa"/>
            <w:shd w:val="clear" w:color="auto" w:fill="F2F2F2" w:themeFill="background1" w:themeFillShade="F2"/>
            <w:vAlign w:val="center"/>
          </w:tcPr>
          <w:p w14:paraId="2B3F4C09" w14:textId="1FE79430" w:rsidR="00E91ADA" w:rsidRPr="00E91ADA" w:rsidRDefault="00E91ADA" w:rsidP="00E91ADA">
            <w:pPr>
              <w:spacing w:before="40" w:after="40"/>
              <w:rPr>
                <w:rFonts w:ascii="Poppins" w:hAnsi="Poppins" w:cs="Poppins"/>
                <w:color w:val="000000" w:themeColor="text1"/>
                <w:sz w:val="18"/>
                <w:szCs w:val="18"/>
                <w:lang w:val="en-US"/>
              </w:rPr>
            </w:pPr>
            <w:r w:rsidRPr="00E91ADA">
              <w:rPr>
                <w:rFonts w:ascii="Poppins" w:hAnsi="Poppins" w:cs="Poppins"/>
                <w:color w:val="000000" w:themeColor="text1"/>
                <w:sz w:val="18"/>
                <w:szCs w:val="18"/>
                <w:lang w:val="en-US"/>
              </w:rPr>
              <w:t>Discontinue infusions and consider additional treatment,</w:t>
            </w:r>
            <w:r>
              <w:rPr>
                <w:rFonts w:ascii="Poppins" w:hAnsi="Poppins" w:cs="Poppins"/>
                <w:color w:val="000000" w:themeColor="text1"/>
                <w:sz w:val="18"/>
                <w:szCs w:val="18"/>
                <w:lang w:val="en-US"/>
              </w:rPr>
              <w:t xml:space="preserve"> </w:t>
            </w:r>
            <w:r w:rsidRPr="00E91ADA">
              <w:rPr>
                <w:rFonts w:ascii="Poppins" w:hAnsi="Poppins" w:cs="Poppins"/>
                <w:color w:val="000000" w:themeColor="text1"/>
                <w:sz w:val="18"/>
                <w:szCs w:val="18"/>
                <w:lang w:val="en-US"/>
              </w:rPr>
              <w:t xml:space="preserve">e.g., </w:t>
            </w:r>
            <w:r>
              <w:rPr>
                <w:rFonts w:ascii="Poppins" w:hAnsi="Poppins" w:cs="Poppins"/>
                <w:color w:val="000000" w:themeColor="text1"/>
                <w:sz w:val="18"/>
                <w:szCs w:val="18"/>
                <w:lang w:val="en-US"/>
              </w:rPr>
              <w:t>cortico</w:t>
            </w:r>
            <w:r w:rsidRPr="00E91ADA">
              <w:rPr>
                <w:rFonts w:ascii="Poppins" w:hAnsi="Poppins" w:cs="Poppins"/>
                <w:color w:val="000000" w:themeColor="text1"/>
                <w:sz w:val="18"/>
                <w:szCs w:val="18"/>
                <w:lang w:val="en-US"/>
              </w:rPr>
              <w:t xml:space="preserve">steroids, </w:t>
            </w:r>
            <w:r>
              <w:rPr>
                <w:rFonts w:ascii="Poppins" w:hAnsi="Poppins" w:cs="Poppins"/>
                <w:color w:val="000000" w:themeColor="text1"/>
                <w:sz w:val="18"/>
                <w:szCs w:val="18"/>
                <w:lang w:val="en-US"/>
              </w:rPr>
              <w:t>t</w:t>
            </w:r>
            <w:r w:rsidRPr="00E91ADA">
              <w:rPr>
                <w:rFonts w:ascii="Poppins" w:hAnsi="Poppins" w:cs="Poppins"/>
                <w:color w:val="000000" w:themeColor="text1"/>
                <w:sz w:val="18"/>
                <w:szCs w:val="18"/>
                <w:lang w:val="en-US"/>
              </w:rPr>
              <w:t>oclizumab (local PICU/ICU protocols to be</w:t>
            </w:r>
          </w:p>
          <w:p w14:paraId="28C27BE0" w14:textId="3654CE6F" w:rsidR="00BF7524" w:rsidRPr="00016158" w:rsidRDefault="00E91ADA" w:rsidP="00E91ADA">
            <w:pPr>
              <w:spacing w:before="40" w:after="40"/>
              <w:rPr>
                <w:rFonts w:ascii="Poppins" w:hAnsi="Poppins" w:cs="Poppins"/>
                <w:color w:val="000000" w:themeColor="text1"/>
                <w:sz w:val="18"/>
                <w:szCs w:val="18"/>
              </w:rPr>
            </w:pPr>
            <w:r w:rsidRPr="00E91ADA">
              <w:rPr>
                <w:rFonts w:ascii="Poppins" w:hAnsi="Poppins" w:cs="Poppins"/>
                <w:color w:val="000000" w:themeColor="text1"/>
                <w:sz w:val="18"/>
                <w:szCs w:val="18"/>
                <w:lang w:val="en-US"/>
              </w:rPr>
              <w:t>applied)</w:t>
            </w:r>
          </w:p>
        </w:tc>
      </w:tr>
    </w:tbl>
    <w:p w14:paraId="678D7E7D" w14:textId="77777777" w:rsidR="00016158" w:rsidRDefault="00016158" w:rsidP="00974651">
      <w:pPr>
        <w:spacing w:before="120" w:after="120" w:line="240" w:lineRule="auto"/>
        <w:rPr>
          <w:rFonts w:ascii="Poppins" w:eastAsia="Times New Roman" w:hAnsi="Poppins" w:cs="Poppins"/>
          <w:sz w:val="21"/>
          <w:szCs w:val="21"/>
          <w:lang w:eastAsia="en-GB"/>
        </w:rPr>
      </w:pPr>
    </w:p>
    <w:p w14:paraId="30C8A587" w14:textId="77777777" w:rsidR="0060747E" w:rsidRPr="00E42614" w:rsidRDefault="0060747E" w:rsidP="00974651">
      <w:pPr>
        <w:spacing w:before="120" w:after="120" w:line="240" w:lineRule="auto"/>
        <w:rPr>
          <w:rFonts w:ascii="Poppins" w:eastAsia="Times New Roman" w:hAnsi="Poppins" w:cs="Poppins"/>
          <w:sz w:val="21"/>
          <w:szCs w:val="21"/>
          <w:lang w:eastAsia="en-GB"/>
        </w:rPr>
      </w:pPr>
    </w:p>
    <w:p w14:paraId="2DAB50A1" w14:textId="0EDD7B66" w:rsidR="009D49C0" w:rsidRPr="00E42614" w:rsidRDefault="009D49C0" w:rsidP="00016158">
      <w:pPr>
        <w:pStyle w:val="Heading1"/>
        <w:spacing w:before="240" w:after="120"/>
        <w:rPr>
          <w:lang w:eastAsia="en-GB"/>
        </w:rPr>
      </w:pPr>
      <w:bookmarkStart w:id="20" w:name="_Follow-up_after_treatment"/>
      <w:bookmarkStart w:id="21" w:name="_Toc237332040"/>
      <w:bookmarkEnd w:id="20"/>
      <w:r w:rsidRPr="00E42614">
        <w:rPr>
          <w:lang w:eastAsia="en-GB"/>
        </w:rPr>
        <w:t>Follow-</w:t>
      </w:r>
      <w:r w:rsidR="00B6269E" w:rsidRPr="00E42614">
        <w:rPr>
          <w:lang w:eastAsia="en-GB"/>
        </w:rPr>
        <w:t>u</w:t>
      </w:r>
      <w:r w:rsidRPr="00E42614">
        <w:rPr>
          <w:lang w:eastAsia="en-GB"/>
        </w:rPr>
        <w:t xml:space="preserve">p </w:t>
      </w:r>
      <w:r w:rsidR="00B6269E" w:rsidRPr="00E42614">
        <w:rPr>
          <w:lang w:eastAsia="en-GB"/>
        </w:rPr>
        <w:t>a</w:t>
      </w:r>
      <w:r w:rsidRPr="00E42614">
        <w:rPr>
          <w:lang w:eastAsia="en-GB"/>
        </w:rPr>
        <w:t xml:space="preserve">fter </w:t>
      </w:r>
      <w:r w:rsidR="00B6269E" w:rsidRPr="00E42614">
        <w:rPr>
          <w:lang w:eastAsia="en-GB"/>
        </w:rPr>
        <w:t>t</w:t>
      </w:r>
      <w:r w:rsidRPr="00E42614">
        <w:rPr>
          <w:lang w:eastAsia="en-GB"/>
        </w:rPr>
        <w:t>reatment</w:t>
      </w:r>
      <w:bookmarkEnd w:id="21"/>
    </w:p>
    <w:p w14:paraId="706C260A" w14:textId="3CF9C2B8" w:rsidR="00A10CA0" w:rsidRPr="00E42614" w:rsidRDefault="00A10CA0" w:rsidP="00016158">
      <w:pPr>
        <w:spacing w:before="120" w:after="24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Before discharge after each infusion:</w:t>
      </w:r>
      <w:r w:rsidR="00DB788C" w:rsidRPr="00E42614">
        <w:rPr>
          <w:rFonts w:ascii="Poppins" w:eastAsia="Times New Roman" w:hAnsi="Poppins" w:cs="Poppins"/>
          <w:sz w:val="21"/>
          <w:szCs w:val="21"/>
          <w:lang w:eastAsia="en-GB"/>
        </w:rPr>
        <w:t xml:space="preserve"> </w:t>
      </w:r>
      <w:r w:rsidR="00DB788C" w:rsidRPr="00E42614">
        <w:rPr>
          <w:rFonts w:ascii="Poppins" w:eastAsia="Times New Roman" w:hAnsi="Poppins" w:cs="Poppins"/>
          <w:bCs/>
          <w:i/>
          <w:iCs/>
          <w:color w:val="808080" w:themeColor="background1" w:themeShade="80"/>
          <w:sz w:val="20"/>
          <w:szCs w:val="20"/>
        </w:rPr>
        <w:t>&lt;Insert/amend any requirements as per Trust policy&gt;</w:t>
      </w: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315"/>
        <w:gridCol w:w="4315"/>
      </w:tblGrid>
      <w:tr w:rsidR="00A10CA0" w:rsidRPr="00E42614" w14:paraId="130FE2EC" w14:textId="77777777" w:rsidTr="00016158">
        <w:tc>
          <w:tcPr>
            <w:tcW w:w="4315" w:type="dxa"/>
            <w:shd w:val="clear" w:color="auto" w:fill="9FD8FF"/>
          </w:tcPr>
          <w:p w14:paraId="6C181E34" w14:textId="10EEC177" w:rsidR="00A10CA0" w:rsidRPr="00016158" w:rsidRDefault="00A10CA0"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Requirement</w:t>
            </w:r>
          </w:p>
        </w:tc>
        <w:tc>
          <w:tcPr>
            <w:tcW w:w="4315" w:type="dxa"/>
            <w:shd w:val="clear" w:color="auto" w:fill="9FD8FF"/>
          </w:tcPr>
          <w:p w14:paraId="744B97EA" w14:textId="64AE2F07" w:rsidR="00A10CA0" w:rsidRPr="00016158" w:rsidRDefault="00A10CA0"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Details</w:t>
            </w:r>
          </w:p>
        </w:tc>
      </w:tr>
      <w:tr w:rsidR="00A10CA0" w:rsidRPr="00E42614" w14:paraId="33D89967" w14:textId="77777777" w:rsidTr="00016158">
        <w:tc>
          <w:tcPr>
            <w:tcW w:w="4315" w:type="dxa"/>
            <w:shd w:val="clear" w:color="auto" w:fill="F2F2F2" w:themeFill="background1" w:themeFillShade="F2"/>
            <w:vAlign w:val="center"/>
          </w:tcPr>
          <w:p w14:paraId="63813566" w14:textId="14153D1A"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Observations</w:t>
            </w:r>
          </w:p>
        </w:tc>
        <w:tc>
          <w:tcPr>
            <w:tcW w:w="4315" w:type="dxa"/>
            <w:shd w:val="clear" w:color="auto" w:fill="F2F2F2" w:themeFill="background1" w:themeFillShade="F2"/>
            <w:vAlign w:val="center"/>
          </w:tcPr>
          <w:p w14:paraId="6EEA76B3" w14:textId="47E39F16"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Stable and within acceptable range</w:t>
            </w:r>
          </w:p>
        </w:tc>
      </w:tr>
      <w:tr w:rsidR="00A10CA0" w:rsidRPr="00E42614" w14:paraId="50FA932A" w14:textId="77777777" w:rsidTr="00016158">
        <w:tc>
          <w:tcPr>
            <w:tcW w:w="4315" w:type="dxa"/>
            <w:shd w:val="clear" w:color="auto" w:fill="F2F2F2" w:themeFill="background1" w:themeFillShade="F2"/>
            <w:vAlign w:val="center"/>
          </w:tcPr>
          <w:p w14:paraId="1781DF4F" w14:textId="7F742A50"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Symptoms</w:t>
            </w:r>
          </w:p>
        </w:tc>
        <w:tc>
          <w:tcPr>
            <w:tcW w:w="4315" w:type="dxa"/>
            <w:shd w:val="clear" w:color="auto" w:fill="F2F2F2" w:themeFill="background1" w:themeFillShade="F2"/>
            <w:vAlign w:val="center"/>
          </w:tcPr>
          <w:p w14:paraId="6C6099D6" w14:textId="6964E77A"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No concerning CRS, hypersensitivity, infection or diabetes symptoms</w:t>
            </w:r>
          </w:p>
        </w:tc>
      </w:tr>
      <w:tr w:rsidR="00A10CA0" w:rsidRPr="00E42614" w14:paraId="368942B0" w14:textId="77777777" w:rsidTr="00016158">
        <w:tc>
          <w:tcPr>
            <w:tcW w:w="4315" w:type="dxa"/>
            <w:shd w:val="clear" w:color="auto" w:fill="F2F2F2" w:themeFill="background1" w:themeFillShade="F2"/>
            <w:vAlign w:val="center"/>
          </w:tcPr>
          <w:p w14:paraId="37EC85CE" w14:textId="61E77CB1"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IV access</w:t>
            </w:r>
          </w:p>
        </w:tc>
        <w:tc>
          <w:tcPr>
            <w:tcW w:w="4315" w:type="dxa"/>
            <w:shd w:val="clear" w:color="auto" w:fill="F2F2F2" w:themeFill="background1" w:themeFillShade="F2"/>
            <w:vAlign w:val="center"/>
          </w:tcPr>
          <w:p w14:paraId="07D5F79F" w14:textId="6B01A82C"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Site checked. Plan for removal or retention according to local policy</w:t>
            </w:r>
          </w:p>
        </w:tc>
      </w:tr>
      <w:tr w:rsidR="00A10CA0" w:rsidRPr="00E42614" w14:paraId="2AAC1003" w14:textId="77777777" w:rsidTr="00016158">
        <w:tc>
          <w:tcPr>
            <w:tcW w:w="4315" w:type="dxa"/>
            <w:shd w:val="clear" w:color="auto" w:fill="F2F2F2" w:themeFill="background1" w:themeFillShade="F2"/>
            <w:vAlign w:val="center"/>
          </w:tcPr>
          <w:p w14:paraId="4AD02F0E" w14:textId="4721F7B0"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Family advice</w:t>
            </w:r>
            <w:r w:rsidR="00FC6B6D" w:rsidRPr="00016158">
              <w:rPr>
                <w:rFonts w:ascii="Poppins" w:eastAsia="Times New Roman" w:hAnsi="Poppins" w:cs="Poppins"/>
                <w:bCs/>
                <w:i/>
                <w:iCs/>
                <w:color w:val="808080" w:themeColor="background1" w:themeShade="80"/>
                <w:sz w:val="18"/>
                <w:szCs w:val="18"/>
              </w:rPr>
              <w:t xml:space="preserve"> </w:t>
            </w:r>
          </w:p>
        </w:tc>
        <w:tc>
          <w:tcPr>
            <w:tcW w:w="4315" w:type="dxa"/>
            <w:shd w:val="clear" w:color="auto" w:fill="F2F2F2" w:themeFill="background1" w:themeFillShade="F2"/>
            <w:vAlign w:val="center"/>
          </w:tcPr>
          <w:p w14:paraId="2FAA131D" w14:textId="43100D5A" w:rsidR="00A10CA0"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Reinforce advice concerning fever, rash, infection or hyperglycaemia*</w:t>
            </w:r>
          </w:p>
        </w:tc>
      </w:tr>
      <w:tr w:rsidR="00A10CA0" w:rsidRPr="00E42614" w14:paraId="6D399120" w14:textId="77777777" w:rsidTr="00016158">
        <w:tc>
          <w:tcPr>
            <w:tcW w:w="4315" w:type="dxa"/>
            <w:shd w:val="clear" w:color="auto" w:fill="F2F2F2" w:themeFill="background1" w:themeFillShade="F2"/>
            <w:vAlign w:val="center"/>
          </w:tcPr>
          <w:p w14:paraId="25EEF9B7" w14:textId="26A92E2C" w:rsidR="00A10CA0"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Contact details</w:t>
            </w:r>
          </w:p>
        </w:tc>
        <w:tc>
          <w:tcPr>
            <w:tcW w:w="4315" w:type="dxa"/>
            <w:shd w:val="clear" w:color="auto" w:fill="F2F2F2" w:themeFill="background1" w:themeFillShade="F2"/>
            <w:vAlign w:val="center"/>
          </w:tcPr>
          <w:p w14:paraId="5BEEA4EA" w14:textId="0453A821" w:rsidR="00A10CA0"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Confirm in-hours and out-of-hours contact route</w:t>
            </w:r>
          </w:p>
        </w:tc>
      </w:tr>
      <w:tr w:rsidR="00FC6B6D" w:rsidRPr="00E42614" w14:paraId="1299870E" w14:textId="77777777" w:rsidTr="00016158">
        <w:tc>
          <w:tcPr>
            <w:tcW w:w="4315" w:type="dxa"/>
            <w:shd w:val="clear" w:color="auto" w:fill="F2F2F2" w:themeFill="background1" w:themeFillShade="F2"/>
            <w:vAlign w:val="center"/>
          </w:tcPr>
          <w:p w14:paraId="062FEBBA" w14:textId="295B8908"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Next appointment</w:t>
            </w:r>
          </w:p>
        </w:tc>
        <w:tc>
          <w:tcPr>
            <w:tcW w:w="4315" w:type="dxa"/>
            <w:shd w:val="clear" w:color="auto" w:fill="F2F2F2" w:themeFill="background1" w:themeFillShade="F2"/>
            <w:vAlign w:val="center"/>
          </w:tcPr>
          <w:p w14:paraId="77730526" w14:textId="0C191400"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Confirm time and location of next infusion</w:t>
            </w:r>
          </w:p>
        </w:tc>
      </w:tr>
      <w:tr w:rsidR="00FC6B6D" w:rsidRPr="00E42614" w14:paraId="077D0DD7" w14:textId="77777777" w:rsidTr="00016158">
        <w:tc>
          <w:tcPr>
            <w:tcW w:w="4315" w:type="dxa"/>
            <w:shd w:val="clear" w:color="auto" w:fill="F2F2F2" w:themeFill="background1" w:themeFillShade="F2"/>
            <w:vAlign w:val="center"/>
          </w:tcPr>
          <w:p w14:paraId="03922207" w14:textId="730C9594"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Documentation</w:t>
            </w:r>
          </w:p>
        </w:tc>
        <w:tc>
          <w:tcPr>
            <w:tcW w:w="4315" w:type="dxa"/>
            <w:shd w:val="clear" w:color="auto" w:fill="F2F2F2" w:themeFill="background1" w:themeFillShade="F2"/>
            <w:vAlign w:val="center"/>
          </w:tcPr>
          <w:p w14:paraId="18301407" w14:textId="62E4C992"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Complete infusion record and adverse event documentation</w:t>
            </w:r>
          </w:p>
        </w:tc>
      </w:tr>
    </w:tbl>
    <w:p w14:paraId="23A3BB34" w14:textId="2148A56B" w:rsidR="004C4516" w:rsidRDefault="00FC6B6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*Symptoms such as fever, rash or malaise may develop after discharge.</w:t>
      </w:r>
      <w:r w:rsidR="00151C44">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51C44">
        <w:rPr>
          <w:rFonts w:ascii="Poppins" w:eastAsia="Times New Roman" w:hAnsi="Poppins" w:cs="Poppins"/>
          <w:bCs/>
          <w:i/>
          <w:iCs/>
          <w:color w:val="808080" w:themeColor="background1" w:themeShade="80"/>
          <w:sz w:val="20"/>
          <w:szCs w:val="20"/>
        </w:rPr>
        <w:instrText xml:space="preserve"> ADDIN EN.CITE </w:instrText>
      </w:r>
      <w:r w:rsidR="00151C44">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51C44">
        <w:rPr>
          <w:rFonts w:ascii="Poppins" w:eastAsia="Times New Roman" w:hAnsi="Poppins" w:cs="Poppins"/>
          <w:bCs/>
          <w:i/>
          <w:iCs/>
          <w:color w:val="808080" w:themeColor="background1" w:themeShade="80"/>
          <w:sz w:val="20"/>
          <w:szCs w:val="20"/>
        </w:rPr>
        <w:instrText xml:space="preserve"> ADDIN EN.CITE.DATA </w:instrText>
      </w:r>
      <w:r w:rsidR="00151C44">
        <w:rPr>
          <w:rFonts w:ascii="Poppins" w:eastAsia="Times New Roman" w:hAnsi="Poppins" w:cs="Poppins"/>
          <w:bCs/>
          <w:i/>
          <w:iCs/>
          <w:color w:val="808080" w:themeColor="background1" w:themeShade="80"/>
          <w:sz w:val="20"/>
          <w:szCs w:val="20"/>
        </w:rPr>
      </w:r>
      <w:r w:rsidR="00151C44">
        <w:rPr>
          <w:rFonts w:ascii="Poppins" w:eastAsia="Times New Roman" w:hAnsi="Poppins" w:cs="Poppins"/>
          <w:bCs/>
          <w:i/>
          <w:iCs/>
          <w:color w:val="808080" w:themeColor="background1" w:themeShade="80"/>
          <w:sz w:val="20"/>
          <w:szCs w:val="20"/>
        </w:rPr>
        <w:fldChar w:fldCharType="end"/>
      </w:r>
      <w:r w:rsidR="00151C44">
        <w:rPr>
          <w:rFonts w:ascii="Poppins" w:eastAsia="Times New Roman" w:hAnsi="Poppins" w:cs="Poppins"/>
          <w:bCs/>
          <w:i/>
          <w:iCs/>
          <w:color w:val="808080" w:themeColor="background1" w:themeShade="80"/>
          <w:sz w:val="20"/>
          <w:szCs w:val="20"/>
        </w:rPr>
      </w:r>
      <w:r w:rsidR="00151C44">
        <w:rPr>
          <w:rFonts w:ascii="Poppins" w:eastAsia="Times New Roman" w:hAnsi="Poppins" w:cs="Poppins"/>
          <w:bCs/>
          <w:i/>
          <w:iCs/>
          <w:color w:val="808080" w:themeColor="background1" w:themeShade="80"/>
          <w:sz w:val="20"/>
          <w:szCs w:val="20"/>
        </w:rPr>
        <w:fldChar w:fldCharType="separate"/>
      </w:r>
      <w:r w:rsidR="00151C44" w:rsidRPr="00151C44">
        <w:rPr>
          <w:rFonts w:ascii="Poppins" w:eastAsia="Times New Roman" w:hAnsi="Poppins" w:cs="Poppins"/>
          <w:bCs/>
          <w:i/>
          <w:iCs/>
          <w:noProof/>
          <w:color w:val="808080" w:themeColor="background1" w:themeShade="80"/>
          <w:sz w:val="20"/>
          <w:szCs w:val="20"/>
          <w:vertAlign w:val="superscript"/>
        </w:rPr>
        <w:t>(Dias, 2026)</w:t>
      </w:r>
      <w:r w:rsidR="00151C44">
        <w:rPr>
          <w:rFonts w:ascii="Poppins" w:eastAsia="Times New Roman" w:hAnsi="Poppins" w:cs="Poppins"/>
          <w:bCs/>
          <w:i/>
          <w:iCs/>
          <w:color w:val="808080" w:themeColor="background1" w:themeShade="80"/>
          <w:sz w:val="20"/>
          <w:szCs w:val="20"/>
        </w:rPr>
        <w:fldChar w:fldCharType="end"/>
      </w:r>
      <w:r w:rsidRPr="00E42614">
        <w:rPr>
          <w:rFonts w:ascii="Poppins" w:eastAsia="Times New Roman" w:hAnsi="Poppins" w:cs="Poppins"/>
          <w:bCs/>
          <w:i/>
          <w:iCs/>
          <w:color w:val="808080" w:themeColor="background1" w:themeShade="80"/>
          <w:sz w:val="20"/>
          <w:szCs w:val="20"/>
        </w:rPr>
        <w:t xml:space="preserve"> Patients should be advised about possible adverse events and given contact details for the hospital team both in and out of hours.</w:t>
      </w:r>
    </w:p>
    <w:p w14:paraId="6259A41A" w14:textId="23F963C5" w:rsidR="00016158" w:rsidRDefault="00016158">
      <w:pPr>
        <w:rPr>
          <w:rFonts w:ascii="Poppins" w:eastAsia="Times New Roman" w:hAnsi="Poppins" w:cs="Poppins"/>
          <w:bCs/>
          <w:i/>
          <w:iCs/>
          <w:color w:val="808080" w:themeColor="background1" w:themeShade="80"/>
          <w:sz w:val="20"/>
          <w:szCs w:val="20"/>
        </w:rPr>
      </w:pPr>
      <w:r>
        <w:rPr>
          <w:rFonts w:ascii="Poppins" w:eastAsia="Times New Roman" w:hAnsi="Poppins" w:cs="Poppins"/>
          <w:bCs/>
          <w:i/>
          <w:iCs/>
          <w:color w:val="808080" w:themeColor="background1" w:themeShade="80"/>
          <w:sz w:val="20"/>
          <w:szCs w:val="20"/>
        </w:rPr>
        <w:br w:type="page"/>
      </w:r>
    </w:p>
    <w:p w14:paraId="671CE0AA" w14:textId="5B51765B" w:rsidR="00EE33E3" w:rsidRPr="00E42614" w:rsidRDefault="00EE33E3"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
          <w:bCs/>
          <w:sz w:val="21"/>
          <w:szCs w:val="21"/>
          <w:lang w:eastAsia="en-GB"/>
        </w:rPr>
        <w:lastRenderedPageBreak/>
        <w:t>Patient and family safety-net advice</w:t>
      </w:r>
      <w:r w:rsidR="00DB788C" w:rsidRPr="00E42614">
        <w:rPr>
          <w:rFonts w:ascii="Poppins" w:eastAsia="Times New Roman" w:hAnsi="Poppins" w:cs="Poppins"/>
          <w:b/>
          <w:bCs/>
          <w:sz w:val="21"/>
          <w:szCs w:val="21"/>
          <w:lang w:eastAsia="en-GB"/>
        </w:rPr>
        <w:t xml:space="preserve"> </w:t>
      </w:r>
    </w:p>
    <w:p w14:paraId="1405715D" w14:textId="330CF75F" w:rsidR="00EE33E3" w:rsidRPr="00E42614" w:rsidRDefault="00EE33E3"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Families should contact the hospital team urgently if the patient develops</w:t>
      </w:r>
      <w:r w:rsidR="00151C44">
        <w:rPr>
          <w:rFonts w:ascii="Poppins" w:eastAsia="Times New Roman" w:hAnsi="Poppins" w:cs="Poppins"/>
          <w:sz w:val="21"/>
          <w:szCs w:val="21"/>
          <w:lang w:eastAsia="en-GB"/>
        </w:rPr>
        <w:t xml:space="preserve"> symptoms such as those listed below</w:t>
      </w:r>
      <w:r w:rsidR="00151C44" w:rsidRPr="00E42614">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151C44">
        <w:rPr>
          <w:rFonts w:ascii="Poppins" w:hAnsi="Poppins" w:cs="Poppins"/>
          <w:spacing w:val="-2"/>
        </w:rPr>
        <w:instrText xml:space="preserve"> ADDIN EN.CITE </w:instrText>
      </w:r>
      <w:r w:rsidR="00151C44">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151C44">
        <w:rPr>
          <w:rFonts w:ascii="Poppins" w:hAnsi="Poppins" w:cs="Poppins"/>
          <w:spacing w:val="-2"/>
        </w:rPr>
        <w:instrText xml:space="preserve"> ADDIN EN.CITE.DATA </w:instrText>
      </w:r>
      <w:r w:rsidR="00151C44">
        <w:rPr>
          <w:rFonts w:ascii="Poppins" w:hAnsi="Poppins" w:cs="Poppins"/>
          <w:spacing w:val="-2"/>
        </w:rPr>
      </w:r>
      <w:r w:rsidR="00151C44">
        <w:rPr>
          <w:rFonts w:ascii="Poppins" w:hAnsi="Poppins" w:cs="Poppins"/>
          <w:spacing w:val="-2"/>
        </w:rPr>
        <w:fldChar w:fldCharType="end"/>
      </w:r>
      <w:r w:rsidR="00151C44" w:rsidRPr="00E42614">
        <w:rPr>
          <w:rFonts w:ascii="Poppins" w:hAnsi="Poppins" w:cs="Poppins"/>
          <w:spacing w:val="-2"/>
        </w:rPr>
      </w:r>
      <w:r w:rsidR="00151C44" w:rsidRPr="00E42614">
        <w:rPr>
          <w:rFonts w:ascii="Poppins" w:hAnsi="Poppins" w:cs="Poppins"/>
          <w:spacing w:val="-2"/>
        </w:rPr>
        <w:fldChar w:fldCharType="separate"/>
      </w:r>
      <w:r w:rsidR="00151C44" w:rsidRPr="00151C44">
        <w:rPr>
          <w:rFonts w:ascii="Poppins" w:hAnsi="Poppins" w:cs="Poppins"/>
          <w:noProof/>
          <w:spacing w:val="-2"/>
          <w:vertAlign w:val="superscript"/>
        </w:rPr>
        <w:t>(TZIELD® SmPC; Dias, 2026)</w:t>
      </w:r>
      <w:r w:rsidR="00151C44" w:rsidRPr="00E42614">
        <w:rPr>
          <w:rFonts w:ascii="Poppins" w:hAnsi="Poppins" w:cs="Poppins"/>
          <w:spacing w:val="-2"/>
        </w:rPr>
        <w:fldChar w:fldCharType="end"/>
      </w:r>
      <w:r w:rsidRPr="00E42614">
        <w:rPr>
          <w:rFonts w:ascii="Poppins" w:eastAsia="Times New Roman" w:hAnsi="Poppins" w:cs="Poppins"/>
          <w:sz w:val="21"/>
          <w:szCs w:val="21"/>
          <w:lang w:eastAsia="en-GB"/>
        </w:rPr>
        <w:t>:</w:t>
      </w:r>
      <w:r w:rsidR="00DB788C" w:rsidRPr="00E42614">
        <w:rPr>
          <w:rFonts w:ascii="Poppins" w:eastAsia="Times New Roman" w:hAnsi="Poppins" w:cs="Poppins"/>
          <w:sz w:val="21"/>
          <w:szCs w:val="21"/>
          <w:lang w:eastAsia="en-GB"/>
        </w:rPr>
        <w:t xml:space="preserve"> </w:t>
      </w:r>
      <w:r w:rsidR="00DB788C" w:rsidRPr="00E42614">
        <w:rPr>
          <w:rFonts w:ascii="Poppins" w:eastAsia="Times New Roman" w:hAnsi="Poppins" w:cs="Poppins"/>
          <w:bCs/>
          <w:i/>
          <w:iCs/>
          <w:color w:val="808080" w:themeColor="background1" w:themeShade="80"/>
          <w:sz w:val="20"/>
          <w:szCs w:val="20"/>
        </w:rPr>
        <w:t>&lt;A suggested list is as below. Insert/amend requirements as per Trust policy&gt;</w:t>
      </w:r>
    </w:p>
    <w:p w14:paraId="49679A83" w14:textId="739C8678"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Fever</w:t>
      </w:r>
    </w:p>
    <w:p w14:paraId="269F8076" w14:textId="56DF9E42"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New or worsening rash</w:t>
      </w:r>
    </w:p>
    <w:p w14:paraId="501005C9" w14:textId="5BC71CC5"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Facial swelling, lip/tongue swelling, wheeze, or breathing difficulty</w:t>
      </w:r>
    </w:p>
    <w:p w14:paraId="11BABE79" w14:textId="00A7A6C2"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Persistent vomiting or diarrhoea</w:t>
      </w:r>
    </w:p>
    <w:p w14:paraId="4429E240" w14:textId="3AB51740"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Severe headache, lethargy, faintness, or collapse</w:t>
      </w:r>
    </w:p>
    <w:p w14:paraId="15D9973B" w14:textId="5049C39F"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Yellow skin or eyes, dark urine, or abdominal pain</w:t>
      </w:r>
    </w:p>
    <w:p w14:paraId="578B6E13" w14:textId="38E29A1B"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Sore throat or signs of infection</w:t>
      </w:r>
    </w:p>
    <w:p w14:paraId="1B0ABF39" w14:textId="23B8E066"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 xml:space="preserve">Increased thirst, passing urine more often, weight loss, abdominal pain, </w:t>
      </w:r>
      <w:r w:rsidR="00DB788C" w:rsidRPr="0032766D">
        <w:rPr>
          <w:rFonts w:ascii="Poppins" w:eastAsia="Times New Roman" w:hAnsi="Poppins" w:cs="Poppins"/>
          <w:bCs/>
          <w:i/>
          <w:iCs/>
          <w:color w:val="808080" w:themeColor="background1" w:themeShade="80"/>
          <w:sz w:val="20"/>
          <w:szCs w:val="20"/>
        </w:rPr>
        <w:t>v</w:t>
      </w:r>
      <w:r w:rsidRPr="0032766D">
        <w:rPr>
          <w:rFonts w:ascii="Poppins" w:eastAsia="Times New Roman" w:hAnsi="Poppins" w:cs="Poppins"/>
          <w:bCs/>
          <w:i/>
          <w:iCs/>
          <w:color w:val="808080" w:themeColor="background1" w:themeShade="80"/>
          <w:sz w:val="20"/>
          <w:szCs w:val="20"/>
        </w:rPr>
        <w:t>omiting, high glucose, or ketones</w:t>
      </w:r>
    </w:p>
    <w:p w14:paraId="3866120F" w14:textId="0656ABE7" w:rsidR="00EE33E3" w:rsidRPr="00614D9A" w:rsidRDefault="00EE33E3" w:rsidP="00974651">
      <w:pPr>
        <w:spacing w:before="120" w:after="120" w:line="240" w:lineRule="auto"/>
        <w:rPr>
          <w:rFonts w:ascii="Poppins" w:eastAsia="Times New Roman" w:hAnsi="Poppins" w:cs="Poppins"/>
          <w:bCs/>
          <w:i/>
          <w:iCs/>
          <w:color w:val="808080" w:themeColor="background1" w:themeShade="80"/>
          <w:sz w:val="20"/>
          <w:szCs w:val="20"/>
          <w:u w:val="single"/>
        </w:rPr>
      </w:pPr>
      <w:r w:rsidRPr="00614D9A">
        <w:rPr>
          <w:rFonts w:ascii="Poppins" w:eastAsia="Times New Roman" w:hAnsi="Poppins" w:cs="Poppins"/>
          <w:bCs/>
          <w:i/>
          <w:iCs/>
          <w:color w:val="808080" w:themeColor="background1" w:themeShade="80"/>
          <w:sz w:val="20"/>
          <w:szCs w:val="20"/>
          <w:u w:val="single"/>
        </w:rPr>
        <w:t>Call 999 for breathing difficulty, collapse, severe allergic reaction, or severe drowsiness</w:t>
      </w:r>
    </w:p>
    <w:p w14:paraId="0B855475" w14:textId="7963F2F5" w:rsidR="00487F85" w:rsidRPr="00E42614" w:rsidRDefault="00B6269E" w:rsidP="00016158">
      <w:pPr>
        <w:spacing w:before="24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Arrange clinic review appointments</w:t>
      </w:r>
      <w:r w:rsidR="00A73387"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w:t>
      </w:r>
    </w:p>
    <w:p w14:paraId="7C35451D" w14:textId="1B1CB3C6" w:rsidR="00B6269E" w:rsidRPr="00E42614" w:rsidRDefault="00B6269E"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Cs/>
          <w:i/>
          <w:iCs/>
          <w:color w:val="808080" w:themeColor="background1" w:themeShade="80"/>
          <w:sz w:val="20"/>
          <w:szCs w:val="20"/>
        </w:rPr>
        <w:t>&lt;Suggested follow-up is available in</w:t>
      </w:r>
      <w:r w:rsidR="00151C44" w:rsidRPr="00151C44">
        <w:rPr>
          <w:rFonts w:ascii="Poppins" w:eastAsia="Times New Roman" w:hAnsi="Poppins" w:cs="Poppins"/>
          <w:bCs/>
          <w:i/>
          <w:iCs/>
          <w:color w:val="808080" w:themeColor="background1" w:themeShade="80"/>
          <w:sz w:val="20"/>
          <w:szCs w:val="20"/>
          <w:lang w:val="en-US"/>
        </w:rPr>
        <w:t>"Considerations for the clinical use of teplizumab in stage 2 Type 1 diabetes: A Consensus Statement from the BSPED and the ABCD"</w:t>
      </w:r>
      <w:r w:rsidR="00A73387" w:rsidRPr="00E42614">
        <w:rPr>
          <w:rFonts w:ascii="Poppins" w:eastAsia="Times New Roman" w:hAnsi="Poppins" w:cs="Poppins"/>
          <w:bCs/>
          <w:i/>
          <w:iCs/>
          <w:color w:val="808080" w:themeColor="background1" w:themeShade="80"/>
          <w:sz w:val="20"/>
          <w:szCs w:val="20"/>
        </w:rPr>
        <w:t>:</w:t>
      </w:r>
      <w:r w:rsidRPr="00E42614">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KERpYXMsIDIwMjY7IEJlc3NlciwgMjAyNSk8L3N0eWxlPjwvRGlzcGxheVRleHQ+PHJlY29yZD48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bGFuZ3VhZ2U+PC9yZWNvcmQ+PC9DaXRlPjxDaXRlPjxBdXRob3I+QmVzc2VyPC9BdXRob3I+PFll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==
</w:fldData>
        </w:fldChar>
      </w:r>
      <w:r w:rsidR="003C263F">
        <w:rPr>
          <w:rFonts w:ascii="Poppins" w:eastAsia="Times New Roman" w:hAnsi="Poppins" w:cs="Poppins"/>
          <w:bCs/>
          <w:i/>
          <w:iCs/>
          <w:color w:val="808080" w:themeColor="background1" w:themeShade="80"/>
          <w:sz w:val="20"/>
          <w:szCs w:val="20"/>
        </w:rPr>
        <w:instrText xml:space="preserve"> ADDIN EN.CITE </w:instrText>
      </w:r>
      <w:r w:rsidR="003C263F">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KERpYXMsIDIwMjY7IEJlc3NlciwgMjAyNSk8L3N0eWxlPjwvRGlzcGxheVRleHQ+PHJlY29yZD48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bGFuZ3VhZ2U+PC9yZWNvcmQ+PC9DaXRlPjxDaXRlPjxBdXRob3I+QmVzc2VyPC9BdXRob3I+PFll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==
</w:fldData>
        </w:fldChar>
      </w:r>
      <w:r w:rsidR="003C263F">
        <w:rPr>
          <w:rFonts w:ascii="Poppins" w:eastAsia="Times New Roman" w:hAnsi="Poppins" w:cs="Poppins"/>
          <w:bCs/>
          <w:i/>
          <w:iCs/>
          <w:color w:val="808080" w:themeColor="background1" w:themeShade="80"/>
          <w:sz w:val="20"/>
          <w:szCs w:val="20"/>
        </w:rPr>
        <w:instrText xml:space="preserve"> ADDIN EN.CITE.DATA </w:instrText>
      </w:r>
      <w:r w:rsidR="003C263F">
        <w:rPr>
          <w:rFonts w:ascii="Poppins" w:eastAsia="Times New Roman" w:hAnsi="Poppins" w:cs="Poppins"/>
          <w:bCs/>
          <w:i/>
          <w:iCs/>
          <w:color w:val="808080" w:themeColor="background1" w:themeShade="80"/>
          <w:sz w:val="20"/>
          <w:szCs w:val="20"/>
        </w:rPr>
      </w:r>
      <w:r w:rsidR="003C263F">
        <w:rPr>
          <w:rFonts w:ascii="Poppins" w:eastAsia="Times New Roman" w:hAnsi="Poppins" w:cs="Poppins"/>
          <w:bCs/>
          <w:i/>
          <w:iCs/>
          <w:color w:val="808080" w:themeColor="background1" w:themeShade="80"/>
          <w:sz w:val="20"/>
          <w:szCs w:val="20"/>
        </w:rPr>
        <w:fldChar w:fldCharType="end"/>
      </w:r>
      <w:r w:rsidRPr="00E42614">
        <w:rPr>
          <w:rFonts w:ascii="Poppins" w:eastAsia="Times New Roman" w:hAnsi="Poppins" w:cs="Poppins"/>
          <w:bCs/>
          <w:i/>
          <w:iCs/>
          <w:color w:val="808080" w:themeColor="background1" w:themeShade="80"/>
          <w:sz w:val="20"/>
          <w:szCs w:val="20"/>
        </w:rPr>
      </w:r>
      <w:r w:rsidRPr="00E42614">
        <w:rPr>
          <w:rFonts w:ascii="Poppins" w:eastAsia="Times New Roman" w:hAnsi="Poppins" w:cs="Poppins"/>
          <w:bCs/>
          <w:i/>
          <w:iCs/>
          <w:color w:val="808080" w:themeColor="background1" w:themeShade="80"/>
          <w:sz w:val="20"/>
          <w:szCs w:val="20"/>
        </w:rPr>
        <w:fldChar w:fldCharType="separate"/>
      </w:r>
      <w:r w:rsidR="003C263F" w:rsidRPr="003C263F">
        <w:rPr>
          <w:rFonts w:ascii="Poppins" w:eastAsia="Times New Roman" w:hAnsi="Poppins" w:cs="Poppins"/>
          <w:bCs/>
          <w:i/>
          <w:iCs/>
          <w:noProof/>
          <w:color w:val="808080" w:themeColor="background1" w:themeShade="80"/>
          <w:sz w:val="20"/>
          <w:szCs w:val="20"/>
          <w:vertAlign w:val="superscript"/>
        </w:rPr>
        <w:t>(Dias, 2026; Besser, 2025)</w:t>
      </w:r>
      <w:r w:rsidRPr="00E42614">
        <w:rPr>
          <w:rFonts w:ascii="Poppins" w:eastAsia="Times New Roman" w:hAnsi="Poppins" w:cs="Poppins"/>
          <w:bCs/>
          <w:i/>
          <w:iCs/>
          <w:color w:val="808080" w:themeColor="background1" w:themeShade="80"/>
          <w:sz w:val="20"/>
          <w:szCs w:val="20"/>
        </w:rPr>
        <w:fldChar w:fldCharType="end"/>
      </w:r>
      <w:r w:rsidRPr="00E42614">
        <w:rPr>
          <w:rFonts w:ascii="Poppins" w:eastAsia="Times New Roman" w:hAnsi="Poppins" w:cs="Poppins"/>
          <w:bCs/>
          <w:i/>
          <w:iCs/>
          <w:color w:val="808080" w:themeColor="background1" w:themeShade="80"/>
          <w:sz w:val="20"/>
          <w:szCs w:val="20"/>
        </w:rPr>
        <w:t>&gt;</w:t>
      </w:r>
      <w:r w:rsidRPr="00E42614">
        <w:rPr>
          <w:rFonts w:ascii="Poppins" w:eastAsia="Times New Roman" w:hAnsi="Poppins" w:cs="Poppins"/>
          <w:i/>
          <w:iCs/>
          <w:sz w:val="21"/>
          <w:szCs w:val="21"/>
          <w:lang w:eastAsia="en-GB"/>
        </w:rPr>
        <w:t xml:space="preserve"> </w:t>
      </w:r>
    </w:p>
    <w:p w14:paraId="1C066EB7" w14:textId="4617F92D" w:rsidR="000971C8" w:rsidRPr="00E42614" w:rsidRDefault="000971C8"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Suggested follow-up after treatment course completion:</w:t>
      </w: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315"/>
        <w:gridCol w:w="4315"/>
      </w:tblGrid>
      <w:tr w:rsidR="000971C8" w:rsidRPr="00E42614" w14:paraId="5DD9B2F4" w14:textId="77777777" w:rsidTr="00016158">
        <w:tc>
          <w:tcPr>
            <w:tcW w:w="4315" w:type="dxa"/>
            <w:shd w:val="clear" w:color="auto" w:fill="9FD8FF"/>
          </w:tcPr>
          <w:p w14:paraId="6365F9C4" w14:textId="23C92092" w:rsidR="000971C8" w:rsidRPr="00016158" w:rsidRDefault="000971C8"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Time point</w:t>
            </w:r>
          </w:p>
        </w:tc>
        <w:tc>
          <w:tcPr>
            <w:tcW w:w="4315" w:type="dxa"/>
            <w:shd w:val="clear" w:color="auto" w:fill="9FD8FF"/>
          </w:tcPr>
          <w:p w14:paraId="5A2BD00F" w14:textId="1CB22AAF" w:rsidR="000971C8" w:rsidRPr="00016158" w:rsidRDefault="000971C8"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0971C8" w:rsidRPr="00E42614" w14:paraId="6121C433" w14:textId="77777777" w:rsidTr="00016158">
        <w:trPr>
          <w:trHeight w:val="1014"/>
        </w:trPr>
        <w:tc>
          <w:tcPr>
            <w:tcW w:w="4315" w:type="dxa"/>
            <w:shd w:val="clear" w:color="auto" w:fill="F2F2F2" w:themeFill="background1" w:themeFillShade="F2"/>
          </w:tcPr>
          <w:p w14:paraId="03B31CE0" w14:textId="6FACAAD6"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Day 14/end of course</w:t>
            </w:r>
          </w:p>
        </w:tc>
        <w:tc>
          <w:tcPr>
            <w:tcW w:w="4315" w:type="dxa"/>
            <w:shd w:val="clear" w:color="auto" w:fill="F2F2F2" w:themeFill="background1" w:themeFillShade="F2"/>
          </w:tcPr>
          <w:p w14:paraId="096775E0" w14:textId="7DB04E4D"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 xml:space="preserve">Clinical review, FBC, LFTs, glucose monitoring, adverse events review, ongoing monitoring plan </w:t>
            </w:r>
          </w:p>
        </w:tc>
      </w:tr>
      <w:tr w:rsidR="000971C8" w:rsidRPr="00E42614" w14:paraId="20878466" w14:textId="77777777" w:rsidTr="00016158">
        <w:tc>
          <w:tcPr>
            <w:tcW w:w="4315" w:type="dxa"/>
            <w:shd w:val="clear" w:color="auto" w:fill="F2F2F2" w:themeFill="background1" w:themeFillShade="F2"/>
          </w:tcPr>
          <w:p w14:paraId="6770D0B6" w14:textId="0AFCCB8E"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1-2 weeks post-course</w:t>
            </w:r>
          </w:p>
        </w:tc>
        <w:tc>
          <w:tcPr>
            <w:tcW w:w="4315" w:type="dxa"/>
            <w:shd w:val="clear" w:color="auto" w:fill="F2F2F2" w:themeFill="background1" w:themeFillShade="F2"/>
          </w:tcPr>
          <w:p w14:paraId="6E03BD71" w14:textId="2B5FD384"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Clinical review, repeat FBC/LFTs if abnormal at completion or clinically indicated</w:t>
            </w:r>
          </w:p>
        </w:tc>
      </w:tr>
      <w:tr w:rsidR="000971C8" w:rsidRPr="00E42614" w14:paraId="63E6CAEB" w14:textId="77777777" w:rsidTr="00016158">
        <w:tc>
          <w:tcPr>
            <w:tcW w:w="4315" w:type="dxa"/>
            <w:shd w:val="clear" w:color="auto" w:fill="F2F2F2" w:themeFill="background1" w:themeFillShade="F2"/>
          </w:tcPr>
          <w:p w14:paraId="09EF09B6" w14:textId="5E0A4A82"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6 weeks post-course</w:t>
            </w:r>
          </w:p>
        </w:tc>
        <w:tc>
          <w:tcPr>
            <w:tcW w:w="4315" w:type="dxa"/>
            <w:shd w:val="clear" w:color="auto" w:fill="F2F2F2" w:themeFill="background1" w:themeFillShade="F2"/>
          </w:tcPr>
          <w:p w14:paraId="325437A0" w14:textId="746BEFFC"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Review signs/symptoms of infection, rash, delayed symptoms, blood count recovery, LFT recover, vaccine planning, glycaemic control</w:t>
            </w:r>
          </w:p>
        </w:tc>
      </w:tr>
      <w:tr w:rsidR="000971C8" w:rsidRPr="002E56FF" w14:paraId="12DC537A" w14:textId="77777777" w:rsidTr="00016158">
        <w:tc>
          <w:tcPr>
            <w:tcW w:w="4315" w:type="dxa"/>
            <w:shd w:val="clear" w:color="auto" w:fill="F2F2F2" w:themeFill="background1" w:themeFillShade="F2"/>
          </w:tcPr>
          <w:p w14:paraId="28037263" w14:textId="73E928B5"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3 months post-course</w:t>
            </w:r>
          </w:p>
        </w:tc>
        <w:tc>
          <w:tcPr>
            <w:tcW w:w="4315" w:type="dxa"/>
            <w:shd w:val="clear" w:color="auto" w:fill="F2F2F2" w:themeFill="background1" w:themeFillShade="F2"/>
          </w:tcPr>
          <w:p w14:paraId="274811B7" w14:textId="632A5485" w:rsidR="000971C8" w:rsidRPr="00804CD7" w:rsidRDefault="000971C8" w:rsidP="00016158">
            <w:pPr>
              <w:spacing w:before="40" w:after="40"/>
              <w:rPr>
                <w:rFonts w:ascii="Poppins" w:eastAsia="Times New Roman" w:hAnsi="Poppins" w:cs="Poppins"/>
                <w:bCs/>
                <w:i/>
                <w:iCs/>
                <w:color w:val="808080" w:themeColor="background1" w:themeShade="80"/>
                <w:sz w:val="18"/>
                <w:szCs w:val="18"/>
                <w:lang w:val="fr-FR"/>
              </w:rPr>
            </w:pPr>
            <w:r w:rsidRPr="00804CD7">
              <w:rPr>
                <w:rFonts w:ascii="Poppins" w:eastAsia="Times New Roman" w:hAnsi="Poppins" w:cs="Poppins"/>
                <w:bCs/>
                <w:i/>
                <w:iCs/>
                <w:color w:val="808080" w:themeColor="background1" w:themeShade="80"/>
                <w:sz w:val="18"/>
                <w:szCs w:val="18"/>
                <w:lang w:val="fr-FR"/>
              </w:rPr>
              <w:t>Diabetes surveillance, HbA1c/glucose review, psychological support, education reinforcement</w:t>
            </w:r>
          </w:p>
        </w:tc>
      </w:tr>
      <w:tr w:rsidR="000971C8" w:rsidRPr="00E42614" w14:paraId="59786606" w14:textId="77777777" w:rsidTr="00016158">
        <w:tc>
          <w:tcPr>
            <w:tcW w:w="4315" w:type="dxa"/>
            <w:shd w:val="clear" w:color="auto" w:fill="F2F2F2" w:themeFill="background1" w:themeFillShade="F2"/>
          </w:tcPr>
          <w:p w14:paraId="297B396D" w14:textId="4077B289"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Ongoing</w:t>
            </w:r>
          </w:p>
        </w:tc>
        <w:tc>
          <w:tcPr>
            <w:tcW w:w="4315" w:type="dxa"/>
            <w:shd w:val="clear" w:color="auto" w:fill="F2F2F2" w:themeFill="background1" w:themeFillShade="F2"/>
          </w:tcPr>
          <w:p w14:paraId="7756D6B9" w14:textId="7327C9BA"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Follow national/local monitoring guidance for Stage 2 T1D after teplizumab</w:t>
            </w:r>
          </w:p>
        </w:tc>
      </w:tr>
    </w:tbl>
    <w:p w14:paraId="4C5B4D37" w14:textId="076607BF" w:rsidR="009D49C0" w:rsidRPr="00E42614" w:rsidRDefault="009D49C0" w:rsidP="00974651">
      <w:pPr>
        <w:pStyle w:val="Heading1"/>
        <w:spacing w:before="120" w:after="120"/>
        <w:rPr>
          <w:lang w:eastAsia="en-GB"/>
        </w:rPr>
      </w:pPr>
      <w:bookmarkStart w:id="22" w:name="_Toc237332041"/>
      <w:r w:rsidRPr="00E42614">
        <w:rPr>
          <w:lang w:eastAsia="en-GB"/>
        </w:rPr>
        <w:lastRenderedPageBreak/>
        <w:t xml:space="preserve">Progression to Stage 3 </w:t>
      </w:r>
      <w:r w:rsidR="001371BE" w:rsidRPr="00E42614">
        <w:rPr>
          <w:lang w:eastAsia="en-GB"/>
        </w:rPr>
        <w:t>T1D</w:t>
      </w:r>
      <w:bookmarkEnd w:id="22"/>
    </w:p>
    <w:p w14:paraId="65AE07E7" w14:textId="48F7581A"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If Stage 3 T1D develops:</w:t>
      </w:r>
      <w:r w:rsidR="00BC6479" w:rsidRPr="00E42614">
        <w:rPr>
          <w:rFonts w:ascii="Poppins" w:eastAsia="Times New Roman" w:hAnsi="Poppins" w:cs="Poppins"/>
          <w:sz w:val="21"/>
          <w:szCs w:val="21"/>
          <w:lang w:eastAsia="en-GB"/>
        </w:rPr>
        <w:t xml:space="preserve"> </w:t>
      </w:r>
      <w:r w:rsidR="00BC6479" w:rsidRPr="00E42614">
        <w:rPr>
          <w:rFonts w:ascii="Poppins" w:eastAsia="Times New Roman" w:hAnsi="Poppins" w:cs="Poppins"/>
          <w:bCs/>
          <w:i/>
          <w:iCs/>
          <w:color w:val="808080" w:themeColor="background1" w:themeShade="80"/>
          <w:sz w:val="20"/>
          <w:szCs w:val="20"/>
        </w:rPr>
        <w:t>&lt;Amend as necessary according to local protocols / pathways&gt;</w:t>
      </w:r>
    </w:p>
    <w:p w14:paraId="60720959" w14:textId="271ED8B3"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Refer immediately to standard T1D pathway</w:t>
      </w:r>
    </w:p>
    <w:p w14:paraId="11DD92C5" w14:textId="656C09BE"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Initiate insulin therapy as indicated</w:t>
      </w:r>
    </w:p>
    <w:p w14:paraId="7C545792" w14:textId="7CBE9922"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Arrange structured education</w:t>
      </w:r>
    </w:p>
    <w:p w14:paraId="4AB06B3B" w14:textId="0D603C83"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Initiate</w:t>
      </w:r>
      <w:r w:rsidR="009F6F38" w:rsidRPr="00E42614">
        <w:rPr>
          <w:rFonts w:ascii="Poppins" w:eastAsia="Times New Roman" w:hAnsi="Poppins" w:cs="Poppins"/>
          <w:sz w:val="21"/>
          <w:szCs w:val="21"/>
          <w:lang w:eastAsia="en-GB"/>
        </w:rPr>
        <w:t xml:space="preserve"> </w:t>
      </w:r>
      <w:r w:rsidR="00F8402A" w:rsidRPr="00E42614">
        <w:rPr>
          <w:rFonts w:ascii="Poppins" w:eastAsia="Times New Roman" w:hAnsi="Poppins" w:cs="Poppins"/>
          <w:sz w:val="21"/>
          <w:szCs w:val="21"/>
          <w:lang w:eastAsia="en-GB"/>
        </w:rPr>
        <w:t>regular</w:t>
      </w:r>
      <w:r w:rsidR="009F6F38" w:rsidRPr="00E42614">
        <w:rPr>
          <w:rFonts w:ascii="Poppins" w:eastAsia="Times New Roman" w:hAnsi="Poppins" w:cs="Poppins"/>
          <w:sz w:val="21"/>
          <w:szCs w:val="21"/>
          <w:lang w:eastAsia="en-GB"/>
        </w:rPr>
        <w:t xml:space="preserve"> glucose monitoring</w:t>
      </w:r>
      <w:r w:rsidRPr="00E42614">
        <w:rPr>
          <w:rFonts w:ascii="Poppins" w:eastAsia="Times New Roman" w:hAnsi="Poppins" w:cs="Poppins"/>
          <w:sz w:val="21"/>
          <w:szCs w:val="21"/>
          <w:lang w:eastAsia="en-GB"/>
        </w:rPr>
        <w:t xml:space="preserve"> according to local protocols</w:t>
      </w:r>
    </w:p>
    <w:p w14:paraId="6D0EA58D" w14:textId="6F27FA9B"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Update GP and specialist records</w:t>
      </w:r>
    </w:p>
    <w:p w14:paraId="387E81C3" w14:textId="79AB25C6" w:rsidR="001371BE" w:rsidRPr="00E42614" w:rsidRDefault="001371BE" w:rsidP="00016158">
      <w:pPr>
        <w:pStyle w:val="Heading1"/>
        <w:spacing w:before="240" w:after="120"/>
        <w:rPr>
          <w:lang w:eastAsia="en-GB"/>
        </w:rPr>
      </w:pPr>
      <w:bookmarkStart w:id="23" w:name="_Governance"/>
      <w:bookmarkStart w:id="24" w:name="_Toc237332042"/>
      <w:bookmarkEnd w:id="23"/>
      <w:r w:rsidRPr="00E42614">
        <w:rPr>
          <w:lang w:eastAsia="en-GB"/>
        </w:rPr>
        <w:t>Governance</w:t>
      </w:r>
      <w:bookmarkEnd w:id="24"/>
    </w:p>
    <w:p w14:paraId="5D6192F4" w14:textId="7ACBC262" w:rsidR="00582784" w:rsidRPr="00E42614" w:rsidRDefault="001371BE"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Training </w:t>
      </w:r>
      <w:r w:rsidR="00582784" w:rsidRPr="00E42614">
        <w:rPr>
          <w:rFonts w:ascii="Poppins" w:eastAsia="Times New Roman" w:hAnsi="Poppins" w:cs="Poppins"/>
          <w:b/>
          <w:bCs/>
          <w:lang w:eastAsia="en-GB"/>
        </w:rPr>
        <w:t>r</w:t>
      </w:r>
      <w:r w:rsidRPr="00E42614">
        <w:rPr>
          <w:rFonts w:ascii="Poppins" w:eastAsia="Times New Roman" w:hAnsi="Poppins" w:cs="Poppins"/>
          <w:b/>
          <w:bCs/>
          <w:lang w:eastAsia="en-GB"/>
        </w:rPr>
        <w:t xml:space="preserve">equirements </w:t>
      </w:r>
    </w:p>
    <w:p w14:paraId="391B554E" w14:textId="37296B94" w:rsidR="001371BE" w:rsidRPr="00E42614" w:rsidRDefault="001371BE"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&lt;State who is responsible for delivering, who is required to undertake training</w:t>
      </w:r>
      <w:r w:rsidR="00151C44">
        <w:rPr>
          <w:rFonts w:ascii="Poppins" w:eastAsia="Times New Roman" w:hAnsi="Poppins" w:cs="Poppins"/>
          <w:bCs/>
          <w:i/>
          <w:iCs/>
          <w:color w:val="808080" w:themeColor="background1" w:themeShade="80"/>
          <w:sz w:val="20"/>
          <w:szCs w:val="20"/>
        </w:rPr>
        <w:t>,</w:t>
      </w:r>
      <w:r w:rsidRPr="00E42614">
        <w:rPr>
          <w:rFonts w:ascii="Poppins" w:eastAsia="Times New Roman" w:hAnsi="Poppins" w:cs="Poppins"/>
          <w:bCs/>
          <w:i/>
          <w:iCs/>
          <w:color w:val="808080" w:themeColor="background1" w:themeShade="80"/>
          <w:sz w:val="20"/>
          <w:szCs w:val="20"/>
        </w:rPr>
        <w:t xml:space="preserve"> and any additional training requirements in the Trust&gt;</w:t>
      </w:r>
    </w:p>
    <w:p w14:paraId="68A46016" w14:textId="77777777" w:rsidR="001371BE" w:rsidRPr="00E42614" w:rsidRDefault="001371BE" w:rsidP="00016158">
      <w:pPr>
        <w:numPr>
          <w:ilvl w:val="0"/>
          <w:numId w:val="8"/>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IV infusion competency</w:t>
      </w:r>
    </w:p>
    <w:p w14:paraId="05070DA1" w14:textId="5E8346FC" w:rsidR="001371BE" w:rsidRPr="00E42614" w:rsidRDefault="0097516D" w:rsidP="00016158">
      <w:pPr>
        <w:numPr>
          <w:ilvl w:val="0"/>
          <w:numId w:val="8"/>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Awareness of protocol</w:t>
      </w:r>
      <w:r w:rsidR="00151C44">
        <w:rPr>
          <w:rFonts w:ascii="Poppins" w:eastAsia="Times New Roman" w:hAnsi="Poppins" w:cs="Poppins"/>
          <w:sz w:val="21"/>
          <w:szCs w:val="21"/>
          <w:lang w:eastAsia="en-GB"/>
        </w:rPr>
        <w:t>s</w:t>
      </w:r>
      <w:r w:rsidRPr="00E42614">
        <w:rPr>
          <w:rFonts w:ascii="Poppins" w:eastAsia="Times New Roman" w:hAnsi="Poppins" w:cs="Poppins"/>
          <w:sz w:val="21"/>
          <w:szCs w:val="21"/>
          <w:lang w:eastAsia="en-GB"/>
        </w:rPr>
        <w:t xml:space="preserve"> in the event of adverse events</w:t>
      </w:r>
      <w:r w:rsidR="00151C4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including anaphylaxis</w:t>
      </w:r>
    </w:p>
    <w:p w14:paraId="7AA28099" w14:textId="6FBED760" w:rsidR="001371BE" w:rsidRPr="00E42614" w:rsidRDefault="00151C44" w:rsidP="00016158">
      <w:pPr>
        <w:numPr>
          <w:ilvl w:val="0"/>
          <w:numId w:val="8"/>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Awareness of the protocol for delivery of </w:t>
      </w:r>
      <w:r w:rsidR="001371BE" w:rsidRPr="00E42614">
        <w:rPr>
          <w:rFonts w:ascii="Poppins" w:eastAsia="Times New Roman" w:hAnsi="Poppins" w:cs="Poppins"/>
          <w:sz w:val="21"/>
          <w:szCs w:val="21"/>
          <w:lang w:eastAsia="en-GB"/>
        </w:rPr>
        <w:t>T</w:t>
      </w:r>
      <w:r>
        <w:rPr>
          <w:rFonts w:ascii="Poppins" w:eastAsia="Times New Roman" w:hAnsi="Poppins" w:cs="Poppins"/>
          <w:sz w:val="21"/>
          <w:szCs w:val="21"/>
          <w:lang w:eastAsia="en-GB"/>
        </w:rPr>
        <w:t>e</w:t>
      </w:r>
      <w:r w:rsidR="001371BE" w:rsidRPr="00E42614">
        <w:rPr>
          <w:rFonts w:ascii="Poppins" w:eastAsia="Times New Roman" w:hAnsi="Poppins" w:cs="Poppins"/>
          <w:sz w:val="21"/>
          <w:szCs w:val="21"/>
          <w:lang w:eastAsia="en-GB"/>
        </w:rPr>
        <w:t xml:space="preserve">plizumab </w:t>
      </w:r>
    </w:p>
    <w:p w14:paraId="11E2E76B" w14:textId="53A683FF" w:rsidR="00582784" w:rsidRPr="00E42614" w:rsidRDefault="009D49C0" w:rsidP="00016158">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Documentation</w:t>
      </w:r>
    </w:p>
    <w:p w14:paraId="0F1EFAF0" w14:textId="6A81D55B" w:rsidR="009D49C0" w:rsidRPr="00E42614" w:rsidRDefault="001371BE"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Cs/>
          <w:i/>
          <w:iCs/>
          <w:color w:val="808080" w:themeColor="background1" w:themeShade="80"/>
          <w:sz w:val="20"/>
          <w:szCs w:val="20"/>
        </w:rPr>
        <w:t>&lt;Add/amend according to local Trust procedures/protocols/policies&gt;</w:t>
      </w:r>
    </w:p>
    <w:p w14:paraId="328D764C" w14:textId="77777777"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The following must be recorded:</w:t>
      </w:r>
    </w:p>
    <w:p w14:paraId="7800026B"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Eligibility assessment</w:t>
      </w:r>
    </w:p>
    <w:p w14:paraId="3369C7A5"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Consent</w:t>
      </w:r>
    </w:p>
    <w:p w14:paraId="7C1CD9AF"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Prescribing decisions</w:t>
      </w:r>
    </w:p>
    <w:p w14:paraId="79D7F91E"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Infusion records</w:t>
      </w:r>
    </w:p>
    <w:p w14:paraId="6D7CFF7D" w14:textId="09BEF9F5"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Adverse events</w:t>
      </w:r>
      <w:r w:rsidR="008E6560" w:rsidRPr="00E42614">
        <w:rPr>
          <w:rFonts w:ascii="Poppins" w:eastAsia="Times New Roman" w:hAnsi="Poppins" w:cs="Poppins"/>
          <w:sz w:val="21"/>
          <w:szCs w:val="21"/>
          <w:lang w:eastAsia="en-GB"/>
        </w:rPr>
        <w:t xml:space="preserve">. </w:t>
      </w:r>
      <w:r w:rsidR="0018576F" w:rsidRPr="00E42614">
        <w:rPr>
          <w:rFonts w:ascii="Poppins" w:eastAsia="Times New Roman" w:hAnsi="Poppins" w:cs="Poppins"/>
          <w:sz w:val="21"/>
          <w:szCs w:val="21"/>
          <w:lang w:eastAsia="en-GB"/>
        </w:rPr>
        <w:t>Note: teplizumab is a black triangle medicine. As such</w:t>
      </w:r>
      <w:r w:rsidR="00151C44">
        <w:rPr>
          <w:rFonts w:ascii="Poppins" w:eastAsia="Times New Roman" w:hAnsi="Poppins" w:cs="Poppins"/>
          <w:sz w:val="21"/>
          <w:szCs w:val="21"/>
          <w:lang w:eastAsia="en-GB"/>
        </w:rPr>
        <w:t>,</w:t>
      </w:r>
      <w:r w:rsidR="00CA2BE3" w:rsidRPr="00E42614">
        <w:rPr>
          <w:rFonts w:ascii="Poppins" w:eastAsia="Times New Roman" w:hAnsi="Poppins" w:cs="Poppins"/>
          <w:sz w:val="21"/>
          <w:szCs w:val="21"/>
          <w:lang w:eastAsia="en-GB"/>
        </w:rPr>
        <w:t xml:space="preserve"> </w:t>
      </w:r>
      <w:r w:rsidR="00757C66" w:rsidRPr="00E42614">
        <w:rPr>
          <w:rFonts w:ascii="Poppins" w:eastAsia="Times New Roman" w:hAnsi="Poppins" w:cs="Poppins"/>
          <w:sz w:val="21"/>
          <w:szCs w:val="21"/>
          <w:lang w:eastAsia="en-GB"/>
        </w:rPr>
        <w:t>any suspected adverse events must be reported in accordance with the SmPC</w:t>
      </w:r>
      <w:r w:rsidR="009F6F38" w:rsidRPr="00E42614">
        <w:rPr>
          <w:rFonts w:ascii="Poppins" w:eastAsia="Times New Roman" w:hAnsi="Poppins" w:cs="Poppins"/>
          <w:sz w:val="21"/>
          <w:szCs w:val="21"/>
          <w:lang w:eastAsia="en-GB"/>
        </w:rPr>
        <w:t xml:space="preserve"> to the MHRA via the Yellow C</w:t>
      </w:r>
      <w:r w:rsidR="00151C44">
        <w:rPr>
          <w:rFonts w:ascii="Poppins" w:eastAsia="Times New Roman" w:hAnsi="Poppins" w:cs="Poppins"/>
          <w:sz w:val="21"/>
          <w:szCs w:val="21"/>
          <w:lang w:eastAsia="en-GB"/>
        </w:rPr>
        <w:t>ar</w:t>
      </w:r>
      <w:r w:rsidR="009F6F38" w:rsidRPr="00E42614">
        <w:rPr>
          <w:rFonts w:ascii="Poppins" w:eastAsia="Times New Roman" w:hAnsi="Poppins" w:cs="Poppins"/>
          <w:sz w:val="21"/>
          <w:szCs w:val="21"/>
          <w:lang w:eastAsia="en-GB"/>
        </w:rPr>
        <w:t>d scheme and to the manufacturer</w:t>
      </w:r>
    </w:p>
    <w:p w14:paraId="285F269E" w14:textId="15CC6938"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Follow-up outcomes</w:t>
      </w:r>
    </w:p>
    <w:p w14:paraId="3A8C4F02" w14:textId="7C0ABFBF" w:rsidR="00DB788C" w:rsidRPr="00E42614" w:rsidRDefault="009D49C0" w:rsidP="00016158">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Audit </w:t>
      </w:r>
      <w:r w:rsidR="00487F85" w:rsidRPr="00E42614">
        <w:rPr>
          <w:rFonts w:ascii="Poppins" w:eastAsia="Times New Roman" w:hAnsi="Poppins" w:cs="Poppins"/>
          <w:b/>
          <w:bCs/>
          <w:lang w:eastAsia="en-GB"/>
        </w:rPr>
        <w:t>s</w:t>
      </w:r>
      <w:r w:rsidRPr="00E42614">
        <w:rPr>
          <w:rFonts w:ascii="Poppins" w:eastAsia="Times New Roman" w:hAnsi="Poppins" w:cs="Poppins"/>
          <w:b/>
          <w:bCs/>
          <w:lang w:eastAsia="en-GB"/>
        </w:rPr>
        <w:t>tandards</w:t>
      </w:r>
      <w:r w:rsidR="00DB788C" w:rsidRPr="00E42614">
        <w:rPr>
          <w:rFonts w:ascii="Poppins" w:eastAsia="Times New Roman" w:hAnsi="Poppins" w:cs="Poppins"/>
          <w:b/>
          <w:bCs/>
          <w:lang w:eastAsia="en-GB"/>
        </w:rPr>
        <w:t xml:space="preserve"> </w:t>
      </w:r>
      <w:r w:rsidR="00DB788C" w:rsidRPr="00E42614">
        <w:rPr>
          <w:rFonts w:ascii="Poppins" w:eastAsia="Times New Roman" w:hAnsi="Poppins" w:cs="Poppins"/>
          <w:bCs/>
          <w:i/>
          <w:iCs/>
          <w:color w:val="808080" w:themeColor="background1" w:themeShade="80"/>
          <w:sz w:val="20"/>
          <w:szCs w:val="20"/>
        </w:rPr>
        <w:t>&lt;Add/amend according to local Trust</w:t>
      </w:r>
      <w:r w:rsidR="0097516D" w:rsidRPr="00E42614">
        <w:rPr>
          <w:rFonts w:ascii="Poppins" w:eastAsia="Times New Roman" w:hAnsi="Poppins" w:cs="Poppins"/>
          <w:bCs/>
          <w:i/>
          <w:iCs/>
          <w:color w:val="808080" w:themeColor="background1" w:themeShade="80"/>
          <w:sz w:val="20"/>
          <w:szCs w:val="20"/>
        </w:rPr>
        <w:t xml:space="preserve"> p</w:t>
      </w:r>
      <w:r w:rsidR="00DB788C" w:rsidRPr="00E42614">
        <w:rPr>
          <w:rFonts w:ascii="Poppins" w:eastAsia="Times New Roman" w:hAnsi="Poppins" w:cs="Poppins"/>
          <w:bCs/>
          <w:i/>
          <w:iCs/>
          <w:color w:val="808080" w:themeColor="background1" w:themeShade="80"/>
          <w:sz w:val="20"/>
          <w:szCs w:val="20"/>
        </w:rPr>
        <w:t>rocedures/protocols/policies&gt;</w:t>
      </w:r>
    </w:p>
    <w:p w14:paraId="7704A213" w14:textId="77777777" w:rsidR="001371BE" w:rsidRPr="00E42614" w:rsidRDefault="001371BE" w:rsidP="00016158">
      <w:pPr>
        <w:numPr>
          <w:ilvl w:val="0"/>
          <w:numId w:val="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100% checklist completion</w:t>
      </w:r>
    </w:p>
    <w:p w14:paraId="07CA98F5" w14:textId="77777777" w:rsidR="001371BE" w:rsidRPr="00E42614" w:rsidRDefault="001371BE" w:rsidP="00016158">
      <w:pPr>
        <w:numPr>
          <w:ilvl w:val="0"/>
          <w:numId w:val="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100% observation documentation</w:t>
      </w:r>
    </w:p>
    <w:p w14:paraId="5427546A" w14:textId="21C32028" w:rsidR="00614D9A" w:rsidRPr="00016158" w:rsidRDefault="001371BE" w:rsidP="00016158">
      <w:pPr>
        <w:numPr>
          <w:ilvl w:val="0"/>
          <w:numId w:val="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Adverse events reported via Yellow Card and to manufacturer </w:t>
      </w:r>
    </w:p>
    <w:tbl>
      <w:tblPr>
        <w:tblW w:w="8628" w:type="dxa"/>
        <w:tblCellSpacing w:w="15" w:type="dxa"/>
        <w:tblInd w:w="-8"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6946"/>
        <w:gridCol w:w="1682"/>
      </w:tblGrid>
      <w:tr w:rsidR="009D49C0" w:rsidRPr="00E42614" w14:paraId="538380BD" w14:textId="77777777" w:rsidTr="00F45610">
        <w:trPr>
          <w:tblCellSpacing w:w="15" w:type="dxa"/>
        </w:trPr>
        <w:tc>
          <w:tcPr>
            <w:tcW w:w="6901" w:type="dxa"/>
            <w:shd w:val="clear" w:color="auto" w:fill="9FD8FF"/>
            <w:vAlign w:val="center"/>
            <w:hideMark/>
          </w:tcPr>
          <w:p w14:paraId="2AE387FA" w14:textId="5BADD03B" w:rsidR="009D49C0" w:rsidRPr="00F45610" w:rsidRDefault="009D49C0" w:rsidP="00F45610">
            <w:pPr>
              <w:spacing w:before="120" w:after="120" w:line="240" w:lineRule="auto"/>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lastRenderedPageBreak/>
              <w:t>Measure</w:t>
            </w:r>
          </w:p>
        </w:tc>
        <w:tc>
          <w:tcPr>
            <w:tcW w:w="1637" w:type="dxa"/>
            <w:shd w:val="clear" w:color="auto" w:fill="9FD8FF"/>
            <w:vAlign w:val="center"/>
            <w:hideMark/>
          </w:tcPr>
          <w:p w14:paraId="75E45450" w14:textId="77777777" w:rsidR="009D49C0" w:rsidRPr="00F45610" w:rsidRDefault="009D49C0" w:rsidP="00F45610">
            <w:pPr>
              <w:spacing w:before="120" w:after="120" w:line="240" w:lineRule="auto"/>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Target</w:t>
            </w:r>
          </w:p>
        </w:tc>
      </w:tr>
      <w:tr w:rsidR="009D49C0" w:rsidRPr="00E42614" w14:paraId="2E0D4736" w14:textId="77777777" w:rsidTr="00F45610">
        <w:trPr>
          <w:tblCellSpacing w:w="15" w:type="dxa"/>
        </w:trPr>
        <w:tc>
          <w:tcPr>
            <w:tcW w:w="6901" w:type="dxa"/>
            <w:shd w:val="clear" w:color="auto" w:fill="F2F2F2" w:themeFill="background1" w:themeFillShade="F2"/>
            <w:vAlign w:val="center"/>
            <w:hideMark/>
          </w:tcPr>
          <w:p w14:paraId="33D30F5F" w14:textId="77777777" w:rsidR="009D49C0" w:rsidRPr="00F45610" w:rsidRDefault="009D49C0" w:rsidP="00974651">
            <w:pPr>
              <w:spacing w:before="120" w:after="120" w:line="240" w:lineRule="auto"/>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Consent documented</w:t>
            </w:r>
          </w:p>
        </w:tc>
        <w:tc>
          <w:tcPr>
            <w:tcW w:w="1637" w:type="dxa"/>
            <w:shd w:val="clear" w:color="auto" w:fill="F2F2F2" w:themeFill="background1" w:themeFillShade="F2"/>
            <w:vAlign w:val="center"/>
            <w:hideMark/>
          </w:tcPr>
          <w:p w14:paraId="43019065"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100%</w:t>
            </w:r>
          </w:p>
        </w:tc>
      </w:tr>
      <w:tr w:rsidR="009D49C0" w:rsidRPr="00E42614" w14:paraId="2A27BBDD" w14:textId="77777777" w:rsidTr="00F45610">
        <w:trPr>
          <w:tblCellSpacing w:w="15" w:type="dxa"/>
        </w:trPr>
        <w:tc>
          <w:tcPr>
            <w:tcW w:w="6901" w:type="dxa"/>
            <w:shd w:val="clear" w:color="auto" w:fill="F2F2F2" w:themeFill="background1" w:themeFillShade="F2"/>
            <w:vAlign w:val="center"/>
            <w:hideMark/>
          </w:tcPr>
          <w:p w14:paraId="4E71B842" w14:textId="77777777" w:rsidR="009D49C0" w:rsidRPr="00F45610" w:rsidRDefault="009D49C0" w:rsidP="00974651">
            <w:pPr>
              <w:spacing w:before="120" w:after="120" w:line="240" w:lineRule="auto"/>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Completion of 14-day treatment course</w:t>
            </w:r>
          </w:p>
        </w:tc>
        <w:tc>
          <w:tcPr>
            <w:tcW w:w="1637" w:type="dxa"/>
            <w:shd w:val="clear" w:color="auto" w:fill="F2F2F2" w:themeFill="background1" w:themeFillShade="F2"/>
            <w:vAlign w:val="center"/>
            <w:hideMark/>
          </w:tcPr>
          <w:p w14:paraId="7BB6AD6A"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&gt;90%</w:t>
            </w:r>
          </w:p>
        </w:tc>
      </w:tr>
      <w:tr w:rsidR="009D49C0" w:rsidRPr="00E42614" w14:paraId="677B2073" w14:textId="77777777" w:rsidTr="00F45610">
        <w:trPr>
          <w:tblCellSpacing w:w="15" w:type="dxa"/>
        </w:trPr>
        <w:tc>
          <w:tcPr>
            <w:tcW w:w="6901" w:type="dxa"/>
            <w:shd w:val="clear" w:color="auto" w:fill="F2F2F2" w:themeFill="background1" w:themeFillShade="F2"/>
            <w:vAlign w:val="center"/>
            <w:hideMark/>
          </w:tcPr>
          <w:p w14:paraId="515EC69B" w14:textId="77777777" w:rsidR="009D49C0" w:rsidRPr="00F45610" w:rsidRDefault="009D49C0" w:rsidP="00974651">
            <w:pPr>
              <w:spacing w:before="120" w:after="120" w:line="240" w:lineRule="auto"/>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Follow-up attendance</w:t>
            </w:r>
          </w:p>
        </w:tc>
        <w:tc>
          <w:tcPr>
            <w:tcW w:w="1637" w:type="dxa"/>
            <w:shd w:val="clear" w:color="auto" w:fill="F2F2F2" w:themeFill="background1" w:themeFillShade="F2"/>
            <w:vAlign w:val="center"/>
            <w:hideMark/>
          </w:tcPr>
          <w:p w14:paraId="3BF6006D"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&gt;90%</w:t>
            </w:r>
          </w:p>
        </w:tc>
      </w:tr>
      <w:tr w:rsidR="009D49C0" w:rsidRPr="00E42614" w14:paraId="5E56004F" w14:textId="77777777" w:rsidTr="00F45610">
        <w:trPr>
          <w:tblCellSpacing w:w="15" w:type="dxa"/>
        </w:trPr>
        <w:tc>
          <w:tcPr>
            <w:tcW w:w="6901" w:type="dxa"/>
            <w:shd w:val="clear" w:color="auto" w:fill="F2F2F2" w:themeFill="background1" w:themeFillShade="F2"/>
            <w:vAlign w:val="center"/>
            <w:hideMark/>
          </w:tcPr>
          <w:p w14:paraId="7998C739" w14:textId="77777777" w:rsidR="009D49C0" w:rsidRPr="00F45610" w:rsidRDefault="009D49C0" w:rsidP="00974651">
            <w:pPr>
              <w:spacing w:before="120" w:after="120" w:line="240" w:lineRule="auto"/>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Serious adverse events reported</w:t>
            </w:r>
          </w:p>
        </w:tc>
        <w:tc>
          <w:tcPr>
            <w:tcW w:w="1637" w:type="dxa"/>
            <w:shd w:val="clear" w:color="auto" w:fill="F2F2F2" w:themeFill="background1" w:themeFillShade="F2"/>
            <w:vAlign w:val="center"/>
            <w:hideMark/>
          </w:tcPr>
          <w:p w14:paraId="751FC1AD"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100%</w:t>
            </w:r>
          </w:p>
        </w:tc>
      </w:tr>
    </w:tbl>
    <w:p w14:paraId="4738F130" w14:textId="18A54AA1" w:rsidR="0040603E" w:rsidRPr="00E42614" w:rsidRDefault="001371BE" w:rsidP="00F45610">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Equality </w:t>
      </w:r>
      <w:r w:rsidR="0040603E" w:rsidRPr="00E42614">
        <w:rPr>
          <w:rFonts w:ascii="Poppins" w:eastAsia="Times New Roman" w:hAnsi="Poppins" w:cs="Poppins"/>
          <w:b/>
          <w:bCs/>
          <w:lang w:eastAsia="en-GB"/>
        </w:rPr>
        <w:t>i</w:t>
      </w:r>
      <w:r w:rsidRPr="00E42614">
        <w:rPr>
          <w:rFonts w:ascii="Poppins" w:eastAsia="Times New Roman" w:hAnsi="Poppins" w:cs="Poppins"/>
          <w:b/>
          <w:bCs/>
          <w:lang w:eastAsia="en-GB"/>
        </w:rPr>
        <w:t xml:space="preserve">mpact </w:t>
      </w:r>
      <w:r w:rsidR="0040603E" w:rsidRPr="00E42614">
        <w:rPr>
          <w:rFonts w:ascii="Poppins" w:eastAsia="Times New Roman" w:hAnsi="Poppins" w:cs="Poppins"/>
          <w:b/>
          <w:bCs/>
          <w:lang w:eastAsia="en-GB"/>
        </w:rPr>
        <w:t>a</w:t>
      </w:r>
      <w:r w:rsidRPr="00E42614">
        <w:rPr>
          <w:rFonts w:ascii="Poppins" w:eastAsia="Times New Roman" w:hAnsi="Poppins" w:cs="Poppins"/>
          <w:b/>
          <w:bCs/>
          <w:lang w:eastAsia="en-GB"/>
        </w:rPr>
        <w:t xml:space="preserve">ssessment </w:t>
      </w:r>
    </w:p>
    <w:p w14:paraId="51B5DBD6" w14:textId="0EDD25C8" w:rsidR="001371BE" w:rsidRPr="00E42614" w:rsidRDefault="001371BE"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 xml:space="preserve">&lt;Insert local </w:t>
      </w:r>
      <w:r w:rsidR="0040603E" w:rsidRPr="00E42614">
        <w:rPr>
          <w:rFonts w:ascii="Poppins" w:eastAsia="Times New Roman" w:hAnsi="Poppins" w:cs="Poppins"/>
          <w:bCs/>
          <w:i/>
          <w:iCs/>
          <w:color w:val="808080" w:themeColor="background1" w:themeShade="80"/>
          <w:sz w:val="20"/>
          <w:szCs w:val="20"/>
        </w:rPr>
        <w:t>e</w:t>
      </w:r>
      <w:r w:rsidR="009E7949" w:rsidRPr="00E42614">
        <w:rPr>
          <w:rFonts w:ascii="Poppins" w:eastAsia="Times New Roman" w:hAnsi="Poppins" w:cs="Poppins"/>
          <w:bCs/>
          <w:i/>
          <w:iCs/>
          <w:color w:val="808080" w:themeColor="background1" w:themeShade="80"/>
          <w:sz w:val="20"/>
          <w:szCs w:val="20"/>
        </w:rPr>
        <w:t xml:space="preserve">quality </w:t>
      </w:r>
      <w:r w:rsidR="0040603E" w:rsidRPr="00E42614">
        <w:rPr>
          <w:rFonts w:ascii="Poppins" w:eastAsia="Times New Roman" w:hAnsi="Poppins" w:cs="Poppins"/>
          <w:bCs/>
          <w:i/>
          <w:iCs/>
          <w:color w:val="808080" w:themeColor="background1" w:themeShade="80"/>
          <w:sz w:val="20"/>
          <w:szCs w:val="20"/>
        </w:rPr>
        <w:t>i</w:t>
      </w:r>
      <w:r w:rsidR="009E7949" w:rsidRPr="00E42614">
        <w:rPr>
          <w:rFonts w:ascii="Poppins" w:eastAsia="Times New Roman" w:hAnsi="Poppins" w:cs="Poppins"/>
          <w:bCs/>
          <w:i/>
          <w:iCs/>
          <w:color w:val="808080" w:themeColor="background1" w:themeShade="80"/>
          <w:sz w:val="20"/>
          <w:szCs w:val="20"/>
        </w:rPr>
        <w:t xml:space="preserve">mpact </w:t>
      </w:r>
      <w:r w:rsidR="0040603E" w:rsidRPr="00E42614">
        <w:rPr>
          <w:rFonts w:ascii="Poppins" w:eastAsia="Times New Roman" w:hAnsi="Poppins" w:cs="Poppins"/>
          <w:bCs/>
          <w:i/>
          <w:iCs/>
          <w:color w:val="808080" w:themeColor="background1" w:themeShade="80"/>
          <w:sz w:val="20"/>
          <w:szCs w:val="20"/>
        </w:rPr>
        <w:t>a</w:t>
      </w:r>
      <w:r w:rsidR="009E7949" w:rsidRPr="00E42614">
        <w:rPr>
          <w:rFonts w:ascii="Poppins" w:eastAsia="Times New Roman" w:hAnsi="Poppins" w:cs="Poppins"/>
          <w:bCs/>
          <w:i/>
          <w:iCs/>
          <w:color w:val="808080" w:themeColor="background1" w:themeShade="80"/>
          <w:sz w:val="20"/>
          <w:szCs w:val="20"/>
        </w:rPr>
        <w:t>ssessment&gt;</w:t>
      </w:r>
    </w:p>
    <w:p w14:paraId="0C3FEF82" w14:textId="77777777" w:rsidR="003C7848" w:rsidRPr="00E42614" w:rsidRDefault="003C7848" w:rsidP="00974651">
      <w:pPr>
        <w:spacing w:before="120" w:after="120" w:line="240" w:lineRule="auto"/>
        <w:rPr>
          <w:lang w:eastAsia="en-GB"/>
        </w:rPr>
      </w:pPr>
    </w:p>
    <w:p w14:paraId="7E4B38DE" w14:textId="77777777" w:rsidR="008E40E4" w:rsidRPr="00E42614" w:rsidRDefault="008E40E4" w:rsidP="00974651">
      <w:pPr>
        <w:spacing w:before="120" w:after="120" w:line="240" w:lineRule="auto"/>
        <w:rPr>
          <w:lang w:eastAsia="en-GB"/>
        </w:rPr>
      </w:pPr>
    </w:p>
    <w:p w14:paraId="47BDA5BF" w14:textId="1C82FB65" w:rsidR="00614D9A" w:rsidRDefault="00614D9A" w:rsidP="00974651">
      <w:pPr>
        <w:spacing w:before="120" w:after="120" w:line="240" w:lineRule="auto"/>
        <w:rPr>
          <w:lang w:eastAsia="en-GB"/>
        </w:rPr>
      </w:pPr>
      <w:bookmarkStart w:id="25" w:name="_Appendix_1._Checklist"/>
      <w:bookmarkStart w:id="26" w:name="_Toc237332043"/>
      <w:bookmarkEnd w:id="25"/>
      <w:r>
        <w:rPr>
          <w:b/>
          <w:bCs/>
          <w:lang w:eastAsia="en-GB"/>
        </w:rPr>
        <w:br w:type="page"/>
      </w:r>
    </w:p>
    <w:p w14:paraId="1A36378E" w14:textId="1C82FB65" w:rsidR="001371BE" w:rsidRPr="00E42614" w:rsidRDefault="001371BE" w:rsidP="00974651">
      <w:pPr>
        <w:pStyle w:val="Heading1"/>
        <w:spacing w:before="120" w:after="120"/>
        <w:rPr>
          <w:lang w:eastAsia="en-GB"/>
        </w:rPr>
      </w:pPr>
      <w:r w:rsidRPr="00E42614">
        <w:rPr>
          <w:lang w:eastAsia="en-GB"/>
        </w:rPr>
        <w:lastRenderedPageBreak/>
        <w:t xml:space="preserve">Appendix 1. </w:t>
      </w:r>
      <w:r w:rsidR="00EF4718" w:rsidRPr="00E42614">
        <w:rPr>
          <w:lang w:eastAsia="en-GB"/>
        </w:rPr>
        <w:t>Checklist</w:t>
      </w:r>
      <w:r w:rsidR="00D56D15" w:rsidRPr="00E42614">
        <w:rPr>
          <w:lang w:eastAsia="en-GB"/>
        </w:rPr>
        <w:t xml:space="preserve"> for responsible clinician</w:t>
      </w:r>
      <w:bookmarkEnd w:id="26"/>
    </w:p>
    <w:tbl>
      <w:tblPr>
        <w:tblW w:w="8639" w:type="dxa"/>
        <w:tblCellSpacing w:w="15"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6229"/>
        <w:gridCol w:w="2410"/>
      </w:tblGrid>
      <w:tr w:rsidR="00EF4718" w:rsidRPr="00E42614" w14:paraId="0319B69A" w14:textId="77777777" w:rsidTr="00DA5077">
        <w:trPr>
          <w:tblCellSpacing w:w="15" w:type="dxa"/>
        </w:trPr>
        <w:tc>
          <w:tcPr>
            <w:tcW w:w="6184" w:type="dxa"/>
            <w:shd w:val="clear" w:color="auto" w:fill="9FD8FF"/>
            <w:vAlign w:val="center"/>
            <w:hideMark/>
          </w:tcPr>
          <w:p w14:paraId="09386636" w14:textId="71289130" w:rsidR="00EF4718" w:rsidRPr="00F45610" w:rsidRDefault="003F3494" w:rsidP="00F45610">
            <w:pPr>
              <w:spacing w:before="120" w:after="120" w:line="240" w:lineRule="auto"/>
              <w:ind w:left="57"/>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Step</w:t>
            </w:r>
          </w:p>
        </w:tc>
        <w:tc>
          <w:tcPr>
            <w:tcW w:w="2365" w:type="dxa"/>
            <w:shd w:val="clear" w:color="auto" w:fill="9FD8FF"/>
            <w:vAlign w:val="center"/>
            <w:hideMark/>
          </w:tcPr>
          <w:p w14:paraId="53B5DE30" w14:textId="77777777" w:rsidR="00EF4718" w:rsidRPr="00F45610" w:rsidRDefault="00EF4718" w:rsidP="00F45610">
            <w:pPr>
              <w:spacing w:before="120" w:after="120" w:line="240" w:lineRule="auto"/>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Tick</w:t>
            </w:r>
          </w:p>
        </w:tc>
      </w:tr>
      <w:tr w:rsidR="00EF4718" w:rsidRPr="00E42614" w14:paraId="53DC7F60" w14:textId="77777777" w:rsidTr="00DA5077">
        <w:trPr>
          <w:tblCellSpacing w:w="15" w:type="dxa"/>
        </w:trPr>
        <w:tc>
          <w:tcPr>
            <w:tcW w:w="6184" w:type="dxa"/>
            <w:shd w:val="clear" w:color="auto" w:fill="F2F2F2" w:themeFill="background1" w:themeFillShade="F2"/>
            <w:vAlign w:val="center"/>
            <w:hideMark/>
          </w:tcPr>
          <w:p w14:paraId="0C7ED949" w14:textId="09061309"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Patient </w:t>
            </w:r>
            <w:r w:rsidR="0040603E" w:rsidRPr="00F45610">
              <w:rPr>
                <w:rFonts w:ascii="Poppins" w:eastAsia="Times New Roman" w:hAnsi="Poppins" w:cs="Poppins"/>
                <w:sz w:val="18"/>
                <w:szCs w:val="18"/>
                <w:lang w:eastAsia="en-GB"/>
              </w:rPr>
              <w:t>identity</w:t>
            </w:r>
            <w:r w:rsidRPr="00F45610">
              <w:rPr>
                <w:rFonts w:ascii="Poppins" w:eastAsia="Times New Roman" w:hAnsi="Poppins" w:cs="Poppins"/>
                <w:sz w:val="18"/>
                <w:szCs w:val="18"/>
                <w:lang w:eastAsia="en-GB"/>
              </w:rPr>
              <w:t xml:space="preserve"> confirmed</w:t>
            </w:r>
          </w:p>
        </w:tc>
        <w:tc>
          <w:tcPr>
            <w:tcW w:w="2365" w:type="dxa"/>
            <w:shd w:val="clear" w:color="auto" w:fill="F2F2F2" w:themeFill="background1" w:themeFillShade="F2"/>
            <w:vAlign w:val="center"/>
            <w:hideMark/>
          </w:tcPr>
          <w:p w14:paraId="796286DB"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01506372" w14:textId="77777777" w:rsidTr="00DA5077">
        <w:trPr>
          <w:tblCellSpacing w:w="15" w:type="dxa"/>
        </w:trPr>
        <w:tc>
          <w:tcPr>
            <w:tcW w:w="6184" w:type="dxa"/>
            <w:shd w:val="clear" w:color="auto" w:fill="F2F2F2" w:themeFill="background1" w:themeFillShade="F2"/>
            <w:vAlign w:val="center"/>
            <w:hideMark/>
          </w:tcPr>
          <w:p w14:paraId="4D0F724C"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Diagnosis confirmed (Stage 2 T1D)</w:t>
            </w:r>
          </w:p>
        </w:tc>
        <w:tc>
          <w:tcPr>
            <w:tcW w:w="2365" w:type="dxa"/>
            <w:shd w:val="clear" w:color="auto" w:fill="F2F2F2" w:themeFill="background1" w:themeFillShade="F2"/>
            <w:vAlign w:val="center"/>
            <w:hideMark/>
          </w:tcPr>
          <w:p w14:paraId="64A0A114"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754D1B8" w14:textId="77777777" w:rsidTr="00DA5077">
        <w:trPr>
          <w:tblCellSpacing w:w="15" w:type="dxa"/>
        </w:trPr>
        <w:tc>
          <w:tcPr>
            <w:tcW w:w="6184" w:type="dxa"/>
            <w:shd w:val="clear" w:color="auto" w:fill="F2F2F2" w:themeFill="background1" w:themeFillShade="F2"/>
            <w:vAlign w:val="center"/>
            <w:hideMark/>
          </w:tcPr>
          <w:p w14:paraId="0403C477"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Eligibility reviewed</w:t>
            </w:r>
          </w:p>
        </w:tc>
        <w:tc>
          <w:tcPr>
            <w:tcW w:w="2365" w:type="dxa"/>
            <w:shd w:val="clear" w:color="auto" w:fill="F2F2F2" w:themeFill="background1" w:themeFillShade="F2"/>
            <w:vAlign w:val="center"/>
            <w:hideMark/>
          </w:tcPr>
          <w:p w14:paraId="1F94B79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4761AAC" w14:textId="77777777" w:rsidTr="00DA5077">
        <w:trPr>
          <w:tblCellSpacing w:w="15" w:type="dxa"/>
        </w:trPr>
        <w:tc>
          <w:tcPr>
            <w:tcW w:w="6184" w:type="dxa"/>
            <w:shd w:val="clear" w:color="auto" w:fill="F2F2F2" w:themeFill="background1" w:themeFillShade="F2"/>
            <w:vAlign w:val="center"/>
            <w:hideMark/>
          </w:tcPr>
          <w:p w14:paraId="7BFE4590"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Exclusion criteria checked</w:t>
            </w:r>
          </w:p>
        </w:tc>
        <w:tc>
          <w:tcPr>
            <w:tcW w:w="2365" w:type="dxa"/>
            <w:shd w:val="clear" w:color="auto" w:fill="F2F2F2" w:themeFill="background1" w:themeFillShade="F2"/>
            <w:vAlign w:val="center"/>
            <w:hideMark/>
          </w:tcPr>
          <w:p w14:paraId="64BF92F8"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8087BBD" w14:textId="77777777" w:rsidTr="00DA5077">
        <w:trPr>
          <w:tblCellSpacing w:w="15" w:type="dxa"/>
        </w:trPr>
        <w:tc>
          <w:tcPr>
            <w:tcW w:w="6184" w:type="dxa"/>
            <w:shd w:val="clear" w:color="auto" w:fill="F2F2F2" w:themeFill="background1" w:themeFillShade="F2"/>
            <w:vAlign w:val="center"/>
            <w:hideMark/>
          </w:tcPr>
          <w:p w14:paraId="61EA0582"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FBC reviewed</w:t>
            </w:r>
          </w:p>
        </w:tc>
        <w:tc>
          <w:tcPr>
            <w:tcW w:w="2365" w:type="dxa"/>
            <w:shd w:val="clear" w:color="auto" w:fill="F2F2F2" w:themeFill="background1" w:themeFillShade="F2"/>
            <w:vAlign w:val="center"/>
            <w:hideMark/>
          </w:tcPr>
          <w:p w14:paraId="69E241F0"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139F2ED9" w14:textId="77777777" w:rsidTr="00DA5077">
        <w:trPr>
          <w:tblCellSpacing w:w="15" w:type="dxa"/>
        </w:trPr>
        <w:tc>
          <w:tcPr>
            <w:tcW w:w="6184" w:type="dxa"/>
            <w:shd w:val="clear" w:color="auto" w:fill="F2F2F2" w:themeFill="background1" w:themeFillShade="F2"/>
            <w:vAlign w:val="center"/>
            <w:hideMark/>
          </w:tcPr>
          <w:p w14:paraId="687FDC8C"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LFTs reviewed</w:t>
            </w:r>
          </w:p>
        </w:tc>
        <w:tc>
          <w:tcPr>
            <w:tcW w:w="2365" w:type="dxa"/>
            <w:shd w:val="clear" w:color="auto" w:fill="F2F2F2" w:themeFill="background1" w:themeFillShade="F2"/>
            <w:vAlign w:val="center"/>
            <w:hideMark/>
          </w:tcPr>
          <w:p w14:paraId="0C3CCD5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783D332" w14:textId="77777777" w:rsidTr="00DA5077">
        <w:trPr>
          <w:tblCellSpacing w:w="15" w:type="dxa"/>
        </w:trPr>
        <w:tc>
          <w:tcPr>
            <w:tcW w:w="6184" w:type="dxa"/>
            <w:shd w:val="clear" w:color="auto" w:fill="F2F2F2" w:themeFill="background1" w:themeFillShade="F2"/>
            <w:vAlign w:val="center"/>
            <w:hideMark/>
          </w:tcPr>
          <w:p w14:paraId="5CD4E7F0"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EBV / CMV screening completed</w:t>
            </w:r>
          </w:p>
        </w:tc>
        <w:tc>
          <w:tcPr>
            <w:tcW w:w="2365" w:type="dxa"/>
            <w:shd w:val="clear" w:color="auto" w:fill="F2F2F2" w:themeFill="background1" w:themeFillShade="F2"/>
            <w:vAlign w:val="center"/>
            <w:hideMark/>
          </w:tcPr>
          <w:p w14:paraId="6ED2C95C"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C3C6118" w14:textId="77777777" w:rsidTr="00DA5077">
        <w:trPr>
          <w:tblCellSpacing w:w="15" w:type="dxa"/>
        </w:trPr>
        <w:tc>
          <w:tcPr>
            <w:tcW w:w="6184" w:type="dxa"/>
            <w:shd w:val="clear" w:color="auto" w:fill="F2F2F2" w:themeFill="background1" w:themeFillShade="F2"/>
            <w:vAlign w:val="center"/>
            <w:hideMark/>
          </w:tcPr>
          <w:p w14:paraId="0749F9E9"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Vaccination status checked</w:t>
            </w:r>
          </w:p>
        </w:tc>
        <w:tc>
          <w:tcPr>
            <w:tcW w:w="2365" w:type="dxa"/>
            <w:shd w:val="clear" w:color="auto" w:fill="F2F2F2" w:themeFill="background1" w:themeFillShade="F2"/>
            <w:vAlign w:val="center"/>
            <w:hideMark/>
          </w:tcPr>
          <w:p w14:paraId="3C0523D4"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CA5FF4B" w14:textId="77777777" w:rsidTr="00DA5077">
        <w:trPr>
          <w:tblCellSpacing w:w="15" w:type="dxa"/>
        </w:trPr>
        <w:tc>
          <w:tcPr>
            <w:tcW w:w="6184" w:type="dxa"/>
            <w:shd w:val="clear" w:color="auto" w:fill="F2F2F2" w:themeFill="background1" w:themeFillShade="F2"/>
            <w:vAlign w:val="center"/>
            <w:hideMark/>
          </w:tcPr>
          <w:p w14:paraId="2365B0D5" w14:textId="5A4B4D73" w:rsidR="00EF4718" w:rsidRPr="00F45610" w:rsidRDefault="00F8402A"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Negative p</w:t>
            </w:r>
            <w:r w:rsidR="00EF4718" w:rsidRPr="00F45610">
              <w:rPr>
                <w:rFonts w:ascii="Poppins" w:eastAsia="Times New Roman" w:hAnsi="Poppins" w:cs="Poppins"/>
                <w:sz w:val="18"/>
                <w:szCs w:val="18"/>
                <w:lang w:eastAsia="en-GB"/>
              </w:rPr>
              <w:t xml:space="preserve">regnancy </w:t>
            </w:r>
            <w:r w:rsidRPr="00F45610">
              <w:rPr>
                <w:rFonts w:ascii="Poppins" w:eastAsia="Times New Roman" w:hAnsi="Poppins" w:cs="Poppins"/>
                <w:sz w:val="18"/>
                <w:szCs w:val="18"/>
                <w:lang w:eastAsia="en-GB"/>
              </w:rPr>
              <w:t>test</w:t>
            </w:r>
            <w:r w:rsidR="00EF4718" w:rsidRPr="00F45610">
              <w:rPr>
                <w:rFonts w:ascii="Poppins" w:eastAsia="Times New Roman" w:hAnsi="Poppins" w:cs="Poppins"/>
                <w:sz w:val="18"/>
                <w:szCs w:val="18"/>
                <w:lang w:eastAsia="en-GB"/>
              </w:rPr>
              <w:t xml:space="preserve"> confirmed</w:t>
            </w:r>
          </w:p>
        </w:tc>
        <w:tc>
          <w:tcPr>
            <w:tcW w:w="2365" w:type="dxa"/>
            <w:shd w:val="clear" w:color="auto" w:fill="F2F2F2" w:themeFill="background1" w:themeFillShade="F2"/>
            <w:vAlign w:val="center"/>
            <w:hideMark/>
          </w:tcPr>
          <w:p w14:paraId="0F3DB06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068F1CD" w14:textId="77777777" w:rsidTr="00DA5077">
        <w:trPr>
          <w:tblCellSpacing w:w="15" w:type="dxa"/>
        </w:trPr>
        <w:tc>
          <w:tcPr>
            <w:tcW w:w="6184" w:type="dxa"/>
            <w:shd w:val="clear" w:color="auto" w:fill="F2F2F2" w:themeFill="background1" w:themeFillShade="F2"/>
            <w:vAlign w:val="center"/>
            <w:hideMark/>
          </w:tcPr>
          <w:p w14:paraId="173FB4D8"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Allergies documented</w:t>
            </w:r>
          </w:p>
        </w:tc>
        <w:tc>
          <w:tcPr>
            <w:tcW w:w="2365" w:type="dxa"/>
            <w:shd w:val="clear" w:color="auto" w:fill="F2F2F2" w:themeFill="background1" w:themeFillShade="F2"/>
            <w:vAlign w:val="center"/>
            <w:hideMark/>
          </w:tcPr>
          <w:p w14:paraId="020978B9"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151C44" w:rsidRPr="00E42614" w14:paraId="374B8D30" w14:textId="77777777" w:rsidTr="00DA5077">
        <w:trPr>
          <w:tblCellSpacing w:w="15" w:type="dxa"/>
        </w:trPr>
        <w:tc>
          <w:tcPr>
            <w:tcW w:w="6184" w:type="dxa"/>
            <w:shd w:val="clear" w:color="auto" w:fill="F2F2F2" w:themeFill="background1" w:themeFillShade="F2"/>
            <w:vAlign w:val="center"/>
          </w:tcPr>
          <w:p w14:paraId="7AC6A509" w14:textId="34DF3355" w:rsidR="00151C44" w:rsidRPr="00F45610" w:rsidRDefault="00151C44"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Patient confirmed as suitable for teplizumab treatment</w:t>
            </w:r>
          </w:p>
        </w:tc>
        <w:tc>
          <w:tcPr>
            <w:tcW w:w="2365" w:type="dxa"/>
            <w:shd w:val="clear" w:color="auto" w:fill="F2F2F2" w:themeFill="background1" w:themeFillShade="F2"/>
            <w:vAlign w:val="center"/>
          </w:tcPr>
          <w:p w14:paraId="31B63CE9" w14:textId="175EDBE0" w:rsidR="00151C44" w:rsidRPr="00F45610" w:rsidRDefault="00151C44" w:rsidP="00974651">
            <w:pPr>
              <w:spacing w:before="120" w:after="120" w:line="240" w:lineRule="auto"/>
              <w:jc w:val="center"/>
              <w:rPr>
                <w:rFonts w:ascii="Segoe UI Symbol" w:eastAsia="Times New Roman" w:hAnsi="Segoe UI Symbol" w:cs="Segoe UI Symbol"/>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78739037" w14:textId="77777777" w:rsidTr="00DA5077">
        <w:trPr>
          <w:tblCellSpacing w:w="15" w:type="dxa"/>
        </w:trPr>
        <w:tc>
          <w:tcPr>
            <w:tcW w:w="6184" w:type="dxa"/>
            <w:shd w:val="clear" w:color="auto" w:fill="F2F2F2" w:themeFill="background1" w:themeFillShade="F2"/>
            <w:vAlign w:val="center"/>
            <w:hideMark/>
          </w:tcPr>
          <w:p w14:paraId="15111FD7" w14:textId="572D0D5E" w:rsidR="00EF4718" w:rsidRPr="00F45610" w:rsidRDefault="0040603E"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Body surface area </w:t>
            </w:r>
            <w:r w:rsidR="00EF4718" w:rsidRPr="00F45610">
              <w:rPr>
                <w:rFonts w:ascii="Poppins" w:eastAsia="Times New Roman" w:hAnsi="Poppins" w:cs="Poppins"/>
                <w:sz w:val="18"/>
                <w:szCs w:val="18"/>
                <w:lang w:eastAsia="en-GB"/>
              </w:rPr>
              <w:t>calculated</w:t>
            </w:r>
          </w:p>
        </w:tc>
        <w:tc>
          <w:tcPr>
            <w:tcW w:w="2365" w:type="dxa"/>
            <w:shd w:val="clear" w:color="auto" w:fill="F2F2F2" w:themeFill="background1" w:themeFillShade="F2"/>
            <w:vAlign w:val="center"/>
            <w:hideMark/>
          </w:tcPr>
          <w:p w14:paraId="4CFF47D5"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77488C6F" w14:textId="77777777" w:rsidTr="00DA5077">
        <w:trPr>
          <w:tblCellSpacing w:w="15" w:type="dxa"/>
        </w:trPr>
        <w:tc>
          <w:tcPr>
            <w:tcW w:w="6184" w:type="dxa"/>
            <w:shd w:val="clear" w:color="auto" w:fill="F2F2F2" w:themeFill="background1" w:themeFillShade="F2"/>
            <w:vAlign w:val="center"/>
            <w:hideMark/>
          </w:tcPr>
          <w:p w14:paraId="04708605"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Prescription verified</w:t>
            </w:r>
          </w:p>
        </w:tc>
        <w:tc>
          <w:tcPr>
            <w:tcW w:w="2365" w:type="dxa"/>
            <w:shd w:val="clear" w:color="auto" w:fill="F2F2F2" w:themeFill="background1" w:themeFillShade="F2"/>
            <w:vAlign w:val="center"/>
            <w:hideMark/>
          </w:tcPr>
          <w:p w14:paraId="6BD220F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B33001B" w14:textId="77777777" w:rsidTr="00DA5077">
        <w:trPr>
          <w:tblCellSpacing w:w="15" w:type="dxa"/>
        </w:trPr>
        <w:tc>
          <w:tcPr>
            <w:tcW w:w="6184" w:type="dxa"/>
            <w:shd w:val="clear" w:color="auto" w:fill="F2F2F2" w:themeFill="background1" w:themeFillShade="F2"/>
            <w:vAlign w:val="center"/>
            <w:hideMark/>
          </w:tcPr>
          <w:p w14:paraId="35406859"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Premedication prescribed</w:t>
            </w:r>
          </w:p>
        </w:tc>
        <w:tc>
          <w:tcPr>
            <w:tcW w:w="2365" w:type="dxa"/>
            <w:shd w:val="clear" w:color="auto" w:fill="F2F2F2" w:themeFill="background1" w:themeFillShade="F2"/>
            <w:vAlign w:val="center"/>
            <w:hideMark/>
          </w:tcPr>
          <w:p w14:paraId="02EFF913"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1942F6C" w14:textId="77777777" w:rsidTr="00DA5077">
        <w:trPr>
          <w:tblCellSpacing w:w="15" w:type="dxa"/>
        </w:trPr>
        <w:tc>
          <w:tcPr>
            <w:tcW w:w="6184" w:type="dxa"/>
            <w:shd w:val="clear" w:color="auto" w:fill="F2F2F2" w:themeFill="background1" w:themeFillShade="F2"/>
            <w:vAlign w:val="center"/>
            <w:hideMark/>
          </w:tcPr>
          <w:p w14:paraId="7E97DA1C" w14:textId="07F203C5"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IV access </w:t>
            </w:r>
            <w:r w:rsidR="00F30282" w:rsidRPr="00F45610">
              <w:rPr>
                <w:rFonts w:ascii="Poppins" w:eastAsia="Times New Roman" w:hAnsi="Poppins" w:cs="Poppins"/>
                <w:sz w:val="18"/>
                <w:szCs w:val="18"/>
                <w:lang w:eastAsia="en-GB"/>
              </w:rPr>
              <w:t xml:space="preserve">plan </w:t>
            </w:r>
            <w:r w:rsidRPr="00F45610">
              <w:rPr>
                <w:rFonts w:ascii="Poppins" w:eastAsia="Times New Roman" w:hAnsi="Poppins" w:cs="Poppins"/>
                <w:sz w:val="18"/>
                <w:szCs w:val="18"/>
                <w:lang w:eastAsia="en-GB"/>
              </w:rPr>
              <w:t>confirmed</w:t>
            </w:r>
          </w:p>
        </w:tc>
        <w:tc>
          <w:tcPr>
            <w:tcW w:w="2365" w:type="dxa"/>
            <w:shd w:val="clear" w:color="auto" w:fill="F2F2F2" w:themeFill="background1" w:themeFillShade="F2"/>
            <w:vAlign w:val="center"/>
            <w:hideMark/>
          </w:tcPr>
          <w:p w14:paraId="22974DE6"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21FCE94" w14:textId="77777777" w:rsidTr="00DA5077">
        <w:trPr>
          <w:tblCellSpacing w:w="15" w:type="dxa"/>
        </w:trPr>
        <w:tc>
          <w:tcPr>
            <w:tcW w:w="6184" w:type="dxa"/>
            <w:shd w:val="clear" w:color="auto" w:fill="F2F2F2" w:themeFill="background1" w:themeFillShade="F2"/>
            <w:vAlign w:val="center"/>
            <w:hideMark/>
          </w:tcPr>
          <w:p w14:paraId="4CEC04EC"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Informed consent obtained</w:t>
            </w:r>
          </w:p>
        </w:tc>
        <w:tc>
          <w:tcPr>
            <w:tcW w:w="2365" w:type="dxa"/>
            <w:shd w:val="clear" w:color="auto" w:fill="F2F2F2" w:themeFill="background1" w:themeFillShade="F2"/>
            <w:vAlign w:val="center"/>
            <w:hideMark/>
          </w:tcPr>
          <w:p w14:paraId="15859E8A"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F10DF2" w:rsidRPr="00E42614" w14:paraId="57643B40" w14:textId="77777777" w:rsidTr="00DA5077">
        <w:trPr>
          <w:tblCellSpacing w:w="15" w:type="dxa"/>
        </w:trPr>
        <w:tc>
          <w:tcPr>
            <w:tcW w:w="6184" w:type="dxa"/>
            <w:shd w:val="clear" w:color="auto" w:fill="F2F2F2" w:themeFill="background1" w:themeFillShade="F2"/>
            <w:vAlign w:val="center"/>
          </w:tcPr>
          <w:p w14:paraId="7FA3A8CD" w14:textId="5DFBCB95" w:rsidR="00F10DF2" w:rsidRPr="00F45610" w:rsidRDefault="00F10DF2"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Post-infusion plan agreed including post-treatment vaccination timescales</w:t>
            </w:r>
          </w:p>
        </w:tc>
        <w:tc>
          <w:tcPr>
            <w:tcW w:w="2365" w:type="dxa"/>
            <w:shd w:val="clear" w:color="auto" w:fill="F2F2F2" w:themeFill="background1" w:themeFillShade="F2"/>
            <w:vAlign w:val="center"/>
          </w:tcPr>
          <w:p w14:paraId="448FB01E" w14:textId="54163951" w:rsidR="00F10DF2" w:rsidRPr="00F45610" w:rsidRDefault="00F10DF2" w:rsidP="00974651">
            <w:pPr>
              <w:spacing w:before="120" w:after="120" w:line="240" w:lineRule="auto"/>
              <w:jc w:val="center"/>
              <w:rPr>
                <w:rFonts w:ascii="Segoe UI Symbol" w:eastAsia="Times New Roman" w:hAnsi="Segoe UI Symbol" w:cs="Segoe UI Symbol"/>
                <w:sz w:val="18"/>
                <w:szCs w:val="18"/>
                <w:lang w:eastAsia="en-GB"/>
              </w:rPr>
            </w:pPr>
            <w:r w:rsidRPr="00F45610">
              <w:rPr>
                <w:rFonts w:ascii="Segoe UI Symbol" w:eastAsia="Times New Roman" w:hAnsi="Segoe UI Symbol" w:cs="Segoe UI Symbol"/>
                <w:sz w:val="18"/>
                <w:szCs w:val="18"/>
                <w:lang w:eastAsia="en-GB"/>
              </w:rPr>
              <w:t>☐</w:t>
            </w:r>
          </w:p>
        </w:tc>
      </w:tr>
    </w:tbl>
    <w:p w14:paraId="008C9EBB" w14:textId="53D0D8B4" w:rsidR="00EF4718" w:rsidRPr="00E42614" w:rsidRDefault="00EF4718" w:rsidP="00974651">
      <w:pPr>
        <w:spacing w:before="120" w:after="120" w:line="240" w:lineRule="auto"/>
        <w:rPr>
          <w:rFonts w:ascii="Poppins" w:eastAsia="Times New Roman" w:hAnsi="Poppins" w:cs="Poppins"/>
          <w:sz w:val="21"/>
          <w:szCs w:val="21"/>
          <w:lang w:eastAsia="en-GB"/>
        </w:rPr>
      </w:pPr>
    </w:p>
    <w:p w14:paraId="777EE2C4" w14:textId="25DE4181" w:rsidR="00EF4718" w:rsidRDefault="001371BE" w:rsidP="00974651">
      <w:pPr>
        <w:pStyle w:val="Heading1"/>
        <w:spacing w:before="120" w:after="120"/>
        <w:rPr>
          <w:lang w:eastAsia="en-GB"/>
        </w:rPr>
      </w:pPr>
      <w:bookmarkStart w:id="27" w:name="_Appendix_2._Infusion"/>
      <w:bookmarkStart w:id="28" w:name="_Toc237332044"/>
      <w:bookmarkEnd w:id="27"/>
      <w:r w:rsidRPr="00E42614">
        <w:rPr>
          <w:lang w:eastAsia="en-GB"/>
        </w:rPr>
        <w:lastRenderedPageBreak/>
        <w:t>Appendix 2.</w:t>
      </w:r>
      <w:r w:rsidR="0040603E" w:rsidRPr="00E42614">
        <w:rPr>
          <w:lang w:eastAsia="en-GB"/>
        </w:rPr>
        <w:t xml:space="preserve"> </w:t>
      </w:r>
      <w:r w:rsidR="00EF4718" w:rsidRPr="00E42614">
        <w:rPr>
          <w:lang w:eastAsia="en-GB"/>
        </w:rPr>
        <w:t xml:space="preserve">Infusion </w:t>
      </w:r>
      <w:r w:rsidR="0040603E" w:rsidRPr="00E42614">
        <w:rPr>
          <w:lang w:eastAsia="en-GB"/>
        </w:rPr>
        <w:t>d</w:t>
      </w:r>
      <w:r w:rsidR="00EF4718" w:rsidRPr="00E42614">
        <w:rPr>
          <w:lang w:eastAsia="en-GB"/>
        </w:rPr>
        <w:t xml:space="preserve">ay </w:t>
      </w:r>
      <w:r w:rsidR="0040603E" w:rsidRPr="00E42614">
        <w:rPr>
          <w:lang w:eastAsia="en-GB"/>
        </w:rPr>
        <w:t>c</w:t>
      </w:r>
      <w:r w:rsidR="00EF4718" w:rsidRPr="00E42614">
        <w:rPr>
          <w:lang w:eastAsia="en-GB"/>
        </w:rPr>
        <w:t>hecklist</w:t>
      </w:r>
      <w:r w:rsidR="00350343" w:rsidRPr="00E42614">
        <w:rPr>
          <w:lang w:eastAsia="en-GB"/>
        </w:rPr>
        <w:t xml:space="preserve"> for </w:t>
      </w:r>
      <w:r w:rsidR="00151C44">
        <w:rPr>
          <w:lang w:eastAsia="en-GB"/>
        </w:rPr>
        <w:t>healthcare professional</w:t>
      </w:r>
      <w:r w:rsidR="00350343" w:rsidRPr="00E42614">
        <w:rPr>
          <w:lang w:eastAsia="en-GB"/>
        </w:rPr>
        <w:t xml:space="preserve"> administering</w:t>
      </w:r>
      <w:r w:rsidR="00151C44">
        <w:rPr>
          <w:lang w:eastAsia="en-GB"/>
        </w:rPr>
        <w:t xml:space="preserve"> teplizumab</w:t>
      </w:r>
      <w:r w:rsidR="00350343" w:rsidRPr="00E42614">
        <w:rPr>
          <w:lang w:eastAsia="en-GB"/>
        </w:rPr>
        <w:t xml:space="preserve"> infusion</w:t>
      </w:r>
      <w:bookmarkEnd w:id="28"/>
    </w:p>
    <w:p w14:paraId="0BB7BAC0" w14:textId="07FC6329" w:rsidR="00151C44" w:rsidRPr="00151C44" w:rsidRDefault="00151C44" w:rsidP="00974651">
      <w:pPr>
        <w:spacing w:before="120" w:after="120" w:line="240" w:lineRule="auto"/>
        <w:rPr>
          <w:rFonts w:ascii="Poppins" w:eastAsia="Times New Roman" w:hAnsi="Poppins" w:cs="Poppins"/>
          <w:sz w:val="21"/>
          <w:szCs w:val="21"/>
          <w:lang w:eastAsia="en-GB"/>
        </w:rPr>
      </w:pPr>
      <w:r w:rsidRPr="00151C44">
        <w:rPr>
          <w:rFonts w:ascii="Poppins" w:eastAsia="Times New Roman" w:hAnsi="Poppins" w:cs="Poppins"/>
          <w:sz w:val="21"/>
          <w:szCs w:val="21"/>
          <w:lang w:eastAsia="en-GB"/>
        </w:rPr>
        <w:t>To be completed on each of the 14 infusion days</w:t>
      </w:r>
    </w:p>
    <w:tbl>
      <w:tblPr>
        <w:tblW w:w="8639" w:type="dxa"/>
        <w:tblCellSpacing w:w="15"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5893"/>
        <w:gridCol w:w="2746"/>
      </w:tblGrid>
      <w:tr w:rsidR="00EF4718" w:rsidRPr="00E42614" w14:paraId="4012B155" w14:textId="77777777" w:rsidTr="00DA5077">
        <w:trPr>
          <w:tblCellSpacing w:w="15" w:type="dxa"/>
        </w:trPr>
        <w:tc>
          <w:tcPr>
            <w:tcW w:w="0" w:type="auto"/>
            <w:shd w:val="clear" w:color="auto" w:fill="9FD8FF"/>
            <w:vAlign w:val="center"/>
            <w:hideMark/>
          </w:tcPr>
          <w:p w14:paraId="59CE6D1E" w14:textId="77777777" w:rsidR="00EF4718" w:rsidRPr="00DA5077" w:rsidRDefault="00EF4718" w:rsidP="00DA5077">
            <w:pPr>
              <w:spacing w:before="120" w:after="120" w:line="240" w:lineRule="auto"/>
              <w:ind w:left="57"/>
              <w:rPr>
                <w:rFonts w:ascii="Poppins" w:eastAsia="Times New Roman" w:hAnsi="Poppins" w:cs="Poppins"/>
                <w:b/>
                <w:bCs/>
                <w:color w:val="0023C8"/>
                <w:sz w:val="20"/>
                <w:szCs w:val="20"/>
                <w:lang w:eastAsia="en-GB"/>
              </w:rPr>
            </w:pPr>
            <w:r w:rsidRPr="00DA5077">
              <w:rPr>
                <w:rFonts w:ascii="Poppins" w:eastAsia="Times New Roman" w:hAnsi="Poppins" w:cs="Poppins"/>
                <w:b/>
                <w:bCs/>
                <w:color w:val="0023C8"/>
                <w:sz w:val="20"/>
                <w:szCs w:val="20"/>
                <w:lang w:eastAsia="en-GB"/>
              </w:rPr>
              <w:t>Step</w:t>
            </w:r>
          </w:p>
        </w:tc>
        <w:tc>
          <w:tcPr>
            <w:tcW w:w="2701" w:type="dxa"/>
            <w:shd w:val="clear" w:color="auto" w:fill="9FD8FF"/>
            <w:vAlign w:val="center"/>
            <w:hideMark/>
          </w:tcPr>
          <w:p w14:paraId="5F3CF1BC" w14:textId="77777777" w:rsidR="00EF4718" w:rsidRPr="00DA5077" w:rsidRDefault="00EF4718" w:rsidP="00DA5077">
            <w:pPr>
              <w:spacing w:before="120" w:after="120" w:line="240" w:lineRule="auto"/>
              <w:ind w:left="57"/>
              <w:jc w:val="center"/>
              <w:rPr>
                <w:rFonts w:ascii="Poppins" w:eastAsia="Times New Roman" w:hAnsi="Poppins" w:cs="Poppins"/>
                <w:b/>
                <w:bCs/>
                <w:color w:val="0023C8"/>
                <w:sz w:val="20"/>
                <w:szCs w:val="20"/>
                <w:lang w:eastAsia="en-GB"/>
              </w:rPr>
            </w:pPr>
            <w:r w:rsidRPr="00DA5077">
              <w:rPr>
                <w:rFonts w:ascii="Poppins" w:eastAsia="Times New Roman" w:hAnsi="Poppins" w:cs="Poppins"/>
                <w:b/>
                <w:bCs/>
                <w:color w:val="0023C8"/>
                <w:sz w:val="20"/>
                <w:szCs w:val="20"/>
                <w:lang w:eastAsia="en-GB"/>
              </w:rPr>
              <w:t>Tick</w:t>
            </w:r>
          </w:p>
        </w:tc>
      </w:tr>
      <w:tr w:rsidR="00EF4718" w:rsidRPr="00E42614" w14:paraId="3478B500" w14:textId="77777777" w:rsidTr="00DA5077">
        <w:trPr>
          <w:tblCellSpacing w:w="15" w:type="dxa"/>
        </w:trPr>
        <w:tc>
          <w:tcPr>
            <w:tcW w:w="0" w:type="auto"/>
            <w:shd w:val="clear" w:color="auto" w:fill="F2F2F2" w:themeFill="background1" w:themeFillShade="F2"/>
            <w:vAlign w:val="center"/>
            <w:hideMark/>
          </w:tcPr>
          <w:p w14:paraId="2829E345" w14:textId="77777777" w:rsidR="00EF4718" w:rsidRPr="00DA5077" w:rsidRDefault="00EF4718"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Baseline observations recorded</w:t>
            </w:r>
          </w:p>
        </w:tc>
        <w:tc>
          <w:tcPr>
            <w:tcW w:w="2701" w:type="dxa"/>
            <w:shd w:val="clear" w:color="auto" w:fill="F2F2F2" w:themeFill="background1" w:themeFillShade="F2"/>
            <w:vAlign w:val="center"/>
            <w:hideMark/>
          </w:tcPr>
          <w:p w14:paraId="6A009C4A" w14:textId="77777777" w:rsidR="00EF4718" w:rsidRPr="00DA5077" w:rsidRDefault="00EF4718"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1AEB850D" w14:textId="77777777" w:rsidTr="00DA5077">
        <w:trPr>
          <w:tblCellSpacing w:w="15" w:type="dxa"/>
        </w:trPr>
        <w:tc>
          <w:tcPr>
            <w:tcW w:w="0" w:type="auto"/>
            <w:shd w:val="clear" w:color="auto" w:fill="F2F2F2" w:themeFill="background1" w:themeFillShade="F2"/>
            <w:vAlign w:val="center"/>
          </w:tcPr>
          <w:p w14:paraId="63708954" w14:textId="6282E89B"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IV access confirmed</w:t>
            </w:r>
          </w:p>
        </w:tc>
        <w:tc>
          <w:tcPr>
            <w:tcW w:w="2701" w:type="dxa"/>
            <w:shd w:val="clear" w:color="auto" w:fill="F2F2F2" w:themeFill="background1" w:themeFillShade="F2"/>
            <w:vAlign w:val="center"/>
          </w:tcPr>
          <w:p w14:paraId="6F513F05" w14:textId="08EBD7BE"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F10DF2" w:rsidRPr="00E42614" w14:paraId="0DC7AA9E" w14:textId="77777777" w:rsidTr="00DA5077">
        <w:trPr>
          <w:tblCellSpacing w:w="15" w:type="dxa"/>
        </w:trPr>
        <w:tc>
          <w:tcPr>
            <w:tcW w:w="0" w:type="auto"/>
            <w:shd w:val="clear" w:color="auto" w:fill="F2F2F2" w:themeFill="background1" w:themeFillShade="F2"/>
            <w:vAlign w:val="center"/>
          </w:tcPr>
          <w:p w14:paraId="003074BE" w14:textId="46180091" w:rsidR="00F10DF2" w:rsidRPr="00DA5077" w:rsidRDefault="00F10DF2"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Negative pregnancy test confirmed (if appropriate)</w:t>
            </w:r>
          </w:p>
        </w:tc>
        <w:tc>
          <w:tcPr>
            <w:tcW w:w="2701" w:type="dxa"/>
            <w:shd w:val="clear" w:color="auto" w:fill="F2F2F2" w:themeFill="background1" w:themeFillShade="F2"/>
            <w:vAlign w:val="center"/>
          </w:tcPr>
          <w:p w14:paraId="5DFB53B8" w14:textId="697C0C34" w:rsidR="00F10DF2" w:rsidRPr="00DA5077" w:rsidRDefault="00F10DF2"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1C0954EA" w14:textId="77777777" w:rsidTr="00DA5077">
        <w:trPr>
          <w:tblCellSpacing w:w="15" w:type="dxa"/>
        </w:trPr>
        <w:tc>
          <w:tcPr>
            <w:tcW w:w="0" w:type="auto"/>
            <w:shd w:val="clear" w:color="auto" w:fill="F2F2F2" w:themeFill="background1" w:themeFillShade="F2"/>
            <w:vAlign w:val="center"/>
            <w:hideMark/>
          </w:tcPr>
          <w:p w14:paraId="15C48CFB"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Premedication administered</w:t>
            </w:r>
          </w:p>
        </w:tc>
        <w:tc>
          <w:tcPr>
            <w:tcW w:w="2701" w:type="dxa"/>
            <w:shd w:val="clear" w:color="auto" w:fill="F2F2F2" w:themeFill="background1" w:themeFillShade="F2"/>
            <w:vAlign w:val="center"/>
            <w:hideMark/>
          </w:tcPr>
          <w:p w14:paraId="306133B4"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6950D85B" w14:textId="77777777" w:rsidTr="00DA5077">
        <w:trPr>
          <w:tblCellSpacing w:w="15" w:type="dxa"/>
        </w:trPr>
        <w:tc>
          <w:tcPr>
            <w:tcW w:w="0" w:type="auto"/>
            <w:shd w:val="clear" w:color="auto" w:fill="F2F2F2" w:themeFill="background1" w:themeFillShade="F2"/>
            <w:vAlign w:val="center"/>
            <w:hideMark/>
          </w:tcPr>
          <w:p w14:paraId="2D0B444A"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Dose verified</w:t>
            </w:r>
          </w:p>
        </w:tc>
        <w:tc>
          <w:tcPr>
            <w:tcW w:w="2701" w:type="dxa"/>
            <w:shd w:val="clear" w:color="auto" w:fill="F2F2F2" w:themeFill="background1" w:themeFillShade="F2"/>
            <w:vAlign w:val="center"/>
            <w:hideMark/>
          </w:tcPr>
          <w:p w14:paraId="244795F7"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43F27D0A" w14:textId="77777777" w:rsidTr="00DA5077">
        <w:trPr>
          <w:tblCellSpacing w:w="15" w:type="dxa"/>
        </w:trPr>
        <w:tc>
          <w:tcPr>
            <w:tcW w:w="0" w:type="auto"/>
            <w:shd w:val="clear" w:color="auto" w:fill="F2F2F2" w:themeFill="background1" w:themeFillShade="F2"/>
            <w:vAlign w:val="center"/>
            <w:hideMark/>
          </w:tcPr>
          <w:p w14:paraId="5D88FAAA"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Infusion started</w:t>
            </w:r>
          </w:p>
        </w:tc>
        <w:tc>
          <w:tcPr>
            <w:tcW w:w="2701" w:type="dxa"/>
            <w:shd w:val="clear" w:color="auto" w:fill="F2F2F2" w:themeFill="background1" w:themeFillShade="F2"/>
            <w:vAlign w:val="center"/>
            <w:hideMark/>
          </w:tcPr>
          <w:p w14:paraId="6B054344"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06A28984" w14:textId="77777777" w:rsidTr="00DA5077">
        <w:trPr>
          <w:tblCellSpacing w:w="15" w:type="dxa"/>
        </w:trPr>
        <w:tc>
          <w:tcPr>
            <w:tcW w:w="0" w:type="auto"/>
            <w:shd w:val="clear" w:color="auto" w:fill="F2F2F2" w:themeFill="background1" w:themeFillShade="F2"/>
            <w:vAlign w:val="center"/>
            <w:hideMark/>
          </w:tcPr>
          <w:p w14:paraId="48B3D3DB"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Monitoring ongoing</w:t>
            </w:r>
          </w:p>
        </w:tc>
        <w:tc>
          <w:tcPr>
            <w:tcW w:w="2701" w:type="dxa"/>
            <w:shd w:val="clear" w:color="auto" w:fill="F2F2F2" w:themeFill="background1" w:themeFillShade="F2"/>
            <w:vAlign w:val="center"/>
            <w:hideMark/>
          </w:tcPr>
          <w:p w14:paraId="35D34FA0"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2A6F6B9F" w14:textId="77777777" w:rsidTr="00DA5077">
        <w:trPr>
          <w:tblCellSpacing w:w="15" w:type="dxa"/>
        </w:trPr>
        <w:tc>
          <w:tcPr>
            <w:tcW w:w="0" w:type="auto"/>
            <w:shd w:val="clear" w:color="auto" w:fill="F2F2F2" w:themeFill="background1" w:themeFillShade="F2"/>
            <w:vAlign w:val="center"/>
            <w:hideMark/>
          </w:tcPr>
          <w:p w14:paraId="530E79E5"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Infusion completed</w:t>
            </w:r>
          </w:p>
        </w:tc>
        <w:tc>
          <w:tcPr>
            <w:tcW w:w="2701" w:type="dxa"/>
            <w:shd w:val="clear" w:color="auto" w:fill="F2F2F2" w:themeFill="background1" w:themeFillShade="F2"/>
            <w:vAlign w:val="center"/>
            <w:hideMark/>
          </w:tcPr>
          <w:p w14:paraId="6D672E7D"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21F17557" w14:textId="77777777" w:rsidTr="00DA5077">
        <w:trPr>
          <w:tblCellSpacing w:w="15" w:type="dxa"/>
        </w:trPr>
        <w:tc>
          <w:tcPr>
            <w:tcW w:w="0" w:type="auto"/>
            <w:shd w:val="clear" w:color="auto" w:fill="F2F2F2" w:themeFill="background1" w:themeFillShade="F2"/>
            <w:vAlign w:val="center"/>
            <w:hideMark/>
          </w:tcPr>
          <w:p w14:paraId="0F807022"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Post observations recorded</w:t>
            </w:r>
          </w:p>
        </w:tc>
        <w:tc>
          <w:tcPr>
            <w:tcW w:w="2701" w:type="dxa"/>
            <w:shd w:val="clear" w:color="auto" w:fill="F2F2F2" w:themeFill="background1" w:themeFillShade="F2"/>
            <w:vAlign w:val="center"/>
            <w:hideMark/>
          </w:tcPr>
          <w:p w14:paraId="4D5A72C3"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517FE720" w14:textId="77777777" w:rsidTr="00DA5077">
        <w:trPr>
          <w:tblCellSpacing w:w="15" w:type="dxa"/>
        </w:trPr>
        <w:tc>
          <w:tcPr>
            <w:tcW w:w="0" w:type="auto"/>
            <w:shd w:val="clear" w:color="auto" w:fill="F2F2F2" w:themeFill="background1" w:themeFillShade="F2"/>
            <w:vAlign w:val="center"/>
            <w:hideMark/>
          </w:tcPr>
          <w:p w14:paraId="472F3D8E" w14:textId="28E94C7D"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 xml:space="preserve">Discharge </w:t>
            </w:r>
            <w:r w:rsidR="003F3494" w:rsidRPr="00DA5077">
              <w:rPr>
                <w:rFonts w:ascii="Poppins" w:eastAsia="Times New Roman" w:hAnsi="Poppins" w:cs="Poppins"/>
                <w:sz w:val="18"/>
                <w:szCs w:val="18"/>
                <w:lang w:eastAsia="en-GB"/>
              </w:rPr>
              <w:t>checks</w:t>
            </w:r>
            <w:r w:rsidRPr="00DA5077">
              <w:rPr>
                <w:rFonts w:ascii="Poppins" w:eastAsia="Times New Roman" w:hAnsi="Poppins" w:cs="Poppins"/>
                <w:sz w:val="18"/>
                <w:szCs w:val="18"/>
                <w:lang w:eastAsia="en-GB"/>
              </w:rPr>
              <w:t xml:space="preserve"> complete</w:t>
            </w:r>
            <w:r w:rsidR="00670394" w:rsidRPr="00DA5077">
              <w:rPr>
                <w:rFonts w:ascii="Poppins" w:eastAsia="Times New Roman" w:hAnsi="Poppins" w:cs="Poppins"/>
                <w:sz w:val="18"/>
                <w:szCs w:val="18"/>
                <w:lang w:eastAsia="en-GB"/>
              </w:rPr>
              <w:t xml:space="preserve"> – patient fit for discharge</w:t>
            </w:r>
          </w:p>
        </w:tc>
        <w:tc>
          <w:tcPr>
            <w:tcW w:w="2701" w:type="dxa"/>
            <w:shd w:val="clear" w:color="auto" w:fill="F2F2F2" w:themeFill="background1" w:themeFillShade="F2"/>
            <w:vAlign w:val="center"/>
            <w:hideMark/>
          </w:tcPr>
          <w:p w14:paraId="7A595E34"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5EB6D9E1" w14:textId="77777777" w:rsidTr="00DA5077">
        <w:trPr>
          <w:tblCellSpacing w:w="15" w:type="dxa"/>
        </w:trPr>
        <w:tc>
          <w:tcPr>
            <w:tcW w:w="0" w:type="auto"/>
            <w:shd w:val="clear" w:color="auto" w:fill="F2F2F2" w:themeFill="background1" w:themeFillShade="F2"/>
            <w:vAlign w:val="center"/>
            <w:hideMark/>
          </w:tcPr>
          <w:p w14:paraId="32D2A8BE"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Documentation complete</w:t>
            </w:r>
          </w:p>
        </w:tc>
        <w:tc>
          <w:tcPr>
            <w:tcW w:w="2701" w:type="dxa"/>
            <w:shd w:val="clear" w:color="auto" w:fill="F2F2F2" w:themeFill="background1" w:themeFillShade="F2"/>
            <w:vAlign w:val="center"/>
            <w:hideMark/>
          </w:tcPr>
          <w:p w14:paraId="56A04D00"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AF35C5" w:rsidRPr="00E42614" w14:paraId="333D51D1" w14:textId="77777777" w:rsidTr="00DA5077">
        <w:trPr>
          <w:tblCellSpacing w:w="15" w:type="dxa"/>
        </w:trPr>
        <w:tc>
          <w:tcPr>
            <w:tcW w:w="0" w:type="auto"/>
            <w:shd w:val="clear" w:color="auto" w:fill="F2F2F2" w:themeFill="background1" w:themeFillShade="F2"/>
            <w:vAlign w:val="center"/>
          </w:tcPr>
          <w:p w14:paraId="779BC88F" w14:textId="09892333" w:rsidR="00AF35C5" w:rsidRPr="00DA5077" w:rsidRDefault="00AF35C5"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Discharge medications prescribed and dispensed</w:t>
            </w:r>
          </w:p>
        </w:tc>
        <w:tc>
          <w:tcPr>
            <w:tcW w:w="2701" w:type="dxa"/>
            <w:shd w:val="clear" w:color="auto" w:fill="F2F2F2" w:themeFill="background1" w:themeFillShade="F2"/>
            <w:vAlign w:val="center"/>
          </w:tcPr>
          <w:p w14:paraId="2E69FDE0" w14:textId="4293A950" w:rsidR="00AF35C5" w:rsidRPr="00DA5077" w:rsidRDefault="00AF35C5"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A47434" w:rsidRPr="00E42614" w14:paraId="615EEEF2" w14:textId="77777777" w:rsidTr="00DA5077">
        <w:trPr>
          <w:tblCellSpacing w:w="15" w:type="dxa"/>
        </w:trPr>
        <w:tc>
          <w:tcPr>
            <w:tcW w:w="0" w:type="auto"/>
            <w:shd w:val="clear" w:color="auto" w:fill="F2F2F2" w:themeFill="background1" w:themeFillShade="F2"/>
            <w:vAlign w:val="center"/>
          </w:tcPr>
          <w:p w14:paraId="0E79B393" w14:textId="6C3F355D" w:rsidR="00A47434" w:rsidRPr="00DA5077" w:rsidRDefault="00A47434"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Patient escalation advice provided</w:t>
            </w:r>
          </w:p>
        </w:tc>
        <w:tc>
          <w:tcPr>
            <w:tcW w:w="2701" w:type="dxa"/>
            <w:shd w:val="clear" w:color="auto" w:fill="F2F2F2" w:themeFill="background1" w:themeFillShade="F2"/>
            <w:vAlign w:val="center"/>
          </w:tcPr>
          <w:p w14:paraId="6DEABCEE" w14:textId="100F1A91" w:rsidR="00A47434" w:rsidRPr="00DA5077" w:rsidRDefault="00A47434"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bl>
    <w:p w14:paraId="27D1879F" w14:textId="29EF8540" w:rsidR="00EF4718" w:rsidRPr="00E42614" w:rsidRDefault="00EF4718" w:rsidP="00974651">
      <w:pPr>
        <w:spacing w:before="120" w:after="120" w:line="240" w:lineRule="auto"/>
        <w:rPr>
          <w:rFonts w:ascii="Poppins" w:eastAsia="Times New Roman" w:hAnsi="Poppins" w:cs="Poppins"/>
          <w:sz w:val="21"/>
          <w:szCs w:val="21"/>
          <w:lang w:eastAsia="en-GB"/>
        </w:rPr>
      </w:pPr>
    </w:p>
    <w:p w14:paraId="4002F4A4" w14:textId="77777777" w:rsidR="0052567C" w:rsidRPr="00E42614" w:rsidRDefault="0052567C" w:rsidP="00974651">
      <w:pPr>
        <w:spacing w:before="120" w:after="120" w:line="240" w:lineRule="auto"/>
        <w:rPr>
          <w:rFonts w:ascii="Poppins" w:hAnsi="Poppins" w:cs="Poppins"/>
          <w:b/>
          <w:bCs/>
          <w:color w:val="0023C8"/>
          <w:sz w:val="28"/>
          <w:szCs w:val="28"/>
        </w:rPr>
      </w:pPr>
      <w:bookmarkStart w:id="29" w:name="_PRESCRIBING_INFORMATION"/>
      <w:bookmarkStart w:id="30" w:name="_Toc229391557"/>
      <w:bookmarkEnd w:id="29"/>
      <w:r w:rsidRPr="00E42614">
        <w:rPr>
          <w:rFonts w:ascii="Poppins" w:hAnsi="Poppins" w:cs="Poppins"/>
          <w:b/>
          <w:bCs/>
          <w:color w:val="0023C8"/>
          <w:sz w:val="28"/>
          <w:szCs w:val="28"/>
        </w:rPr>
        <w:br w:type="page"/>
      </w:r>
    </w:p>
    <w:p w14:paraId="5B6F34D5" w14:textId="47876FEC" w:rsidR="00654693" w:rsidRPr="0055639E" w:rsidRDefault="0052567C" w:rsidP="00974651">
      <w:pPr>
        <w:pStyle w:val="Heading1"/>
        <w:spacing w:before="120" w:after="120"/>
      </w:pPr>
      <w:bookmarkStart w:id="31" w:name="_Toc237332045"/>
      <w:bookmarkEnd w:id="30"/>
      <w:r w:rsidRPr="00E42614">
        <w:lastRenderedPageBreak/>
        <w:t xml:space="preserve">Prescribing </w:t>
      </w:r>
      <w:r w:rsidR="001B1BF4" w:rsidRPr="00E42614">
        <w:t>i</w:t>
      </w:r>
      <w:r w:rsidRPr="00E42614">
        <w:t>nformation</w:t>
      </w:r>
      <w:bookmarkEnd w:id="31"/>
    </w:p>
    <w:p w14:paraId="1FF784E8" w14:textId="77777777" w:rsidR="00F31AD9" w:rsidRPr="00947A01" w:rsidRDefault="00F31AD9" w:rsidP="00F31AD9">
      <w:pPr>
        <w:pStyle w:val="EndNoteBibliography"/>
        <w:spacing w:after="120"/>
        <w:rPr>
          <w:b/>
          <w:bCs/>
          <w:noProof w:val="0"/>
          <w:color w:val="262626" w:themeColor="text1" w:themeTint="D9"/>
          <w:sz w:val="18"/>
          <w:szCs w:val="16"/>
        </w:rPr>
      </w:pPr>
      <w:r w:rsidRPr="00947A01">
        <w:rPr>
          <w:b/>
          <w:bCs/>
          <w:noProof w:val="0"/>
          <w:color w:val="262626" w:themeColor="text1" w:themeTint="D9"/>
          <w:sz w:val="18"/>
          <w:szCs w:val="16"/>
        </w:rPr>
        <w:t>Prescribing Information: Tzield (Teplizumab) 2 mg/2 mL concentrate for solution for infusion</w:t>
      </w:r>
    </w:p>
    <w:p w14:paraId="75B2792B" w14:textId="77777777" w:rsidR="00F31AD9" w:rsidRPr="00947A01" w:rsidRDefault="00F31AD9" w:rsidP="00F31AD9">
      <w:pPr>
        <w:pStyle w:val="EndNoteBibliography"/>
        <w:spacing w:after="120"/>
        <w:rPr>
          <w:b/>
          <w:bCs/>
          <w:noProof w:val="0"/>
          <w:color w:val="262626" w:themeColor="text1" w:themeTint="D9"/>
          <w:sz w:val="18"/>
          <w:szCs w:val="16"/>
        </w:rPr>
      </w:pPr>
      <w:r w:rsidRPr="00947A01">
        <w:rPr>
          <w:b/>
          <w:bCs/>
          <w:noProof w:val="0"/>
          <w:color w:val="262626" w:themeColor="text1" w:themeTint="D9"/>
          <w:sz w:val="18"/>
          <w:szCs w:val="16"/>
        </w:rPr>
        <w:t>Please refer to the Summary of Product Characteristics (SmPC) before prescribing.</w:t>
      </w:r>
    </w:p>
    <w:p w14:paraId="43736CB3" w14:textId="77777777" w:rsidR="00F31AD9" w:rsidRPr="00E42614" w:rsidRDefault="00F31AD9" w:rsidP="00947A01">
      <w:pPr>
        <w:pStyle w:val="EndNoteBibliography"/>
        <w:spacing w:after="120"/>
        <w:rPr>
          <w:b/>
          <w:bCs/>
          <w:noProof w:val="0"/>
          <w:color w:val="0023C8"/>
          <w:szCs w:val="18"/>
        </w:rPr>
        <w:sectPr w:rsidR="00F31AD9" w:rsidRPr="00E42614" w:rsidSect="00F31AD9">
          <w:headerReference w:type="default" r:id="rId17"/>
          <w:footerReference w:type="default" r:id="rId18"/>
          <w:footerReference w:type="first" r:id="rId19"/>
          <w:type w:val="continuous"/>
          <w:pgSz w:w="12240" w:h="15840"/>
          <w:pgMar w:top="1276" w:right="1800" w:bottom="1134" w:left="1800" w:header="720" w:footer="454" w:gutter="0"/>
          <w:cols w:space="720"/>
          <w:titlePg/>
          <w:docGrid w:linePitch="360"/>
        </w:sectPr>
      </w:pPr>
    </w:p>
    <w:p w14:paraId="3E1DDA8E"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 xml:space="preserve">Presentation: </w:t>
      </w:r>
      <w:r w:rsidRPr="00E42614">
        <w:rPr>
          <w:noProof w:val="0"/>
          <w:sz w:val="14"/>
          <w:szCs w:val="14"/>
        </w:rPr>
        <w:t>Each vial contains 2 mg of teplizumab in 2 mL of concentrate (2 mg/2 mL). Teplizumab is a CD3-directed monoclonal antibody (humanised ULN</w:t>
      </w:r>
    </w:p>
    <w:p w14:paraId="1A565706"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rPr>
        <w:t xml:space="preserve">1 kappa) expressed from a recombinant Chinese hamster ovary (CHO) cell line. </w:t>
      </w:r>
    </w:p>
    <w:p w14:paraId="7D55480F"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 xml:space="preserve">Indication: </w:t>
      </w:r>
      <w:r w:rsidRPr="00E42614">
        <w:rPr>
          <w:noProof w:val="0"/>
          <w:sz w:val="14"/>
          <w:szCs w:val="14"/>
        </w:rPr>
        <w:t xml:space="preserve">Tzield is indicated to delay the onset of Stage 3 type 1 diabetes in adult and paediatric patients 8 years of age and older with Stage 2 type 1 diabetes (T1D). </w:t>
      </w:r>
    </w:p>
    <w:p w14:paraId="4BBA6135"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u w:val="single"/>
        </w:rPr>
        <w:t>Patient Selection</w:t>
      </w:r>
      <w:r w:rsidRPr="00E42614">
        <w:rPr>
          <w:i/>
          <w:iCs/>
          <w:noProof w:val="0"/>
          <w:sz w:val="14"/>
          <w:szCs w:val="14"/>
        </w:rPr>
        <w:t xml:space="preserve">: </w:t>
      </w:r>
      <w:r w:rsidRPr="00E42614">
        <w:rPr>
          <w:noProof w:val="0"/>
          <w:sz w:val="14"/>
          <w:szCs w:val="14"/>
        </w:rPr>
        <w:t xml:space="preserve">Select adult and paediatric patients 8 years of age and older for Tzield treatment who have a diagnosis of Stage 2 type 1 diabetes. </w:t>
      </w:r>
    </w:p>
    <w:p w14:paraId="48300E89"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rPr>
        <w:t>Confirm Stage 2 type 1 diabetes by documenting: (i) At least two positive pancreatic islet cell autoantibodies. (ii) Dysglycaemia without overt hyperglycaemia</w:t>
      </w:r>
    </w:p>
    <w:p w14:paraId="76AA8744"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rPr>
        <w:t xml:space="preserve">Ensure the clinical history of the patient does not suggest type 2 diabetes. </w:t>
      </w:r>
    </w:p>
    <w:p w14:paraId="07143252"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 xml:space="preserve">Dosage and Administration: </w:t>
      </w:r>
      <w:r w:rsidRPr="00E42614">
        <w:rPr>
          <w:i/>
          <w:iCs/>
          <w:noProof w:val="0"/>
          <w:sz w:val="14"/>
          <w:szCs w:val="14"/>
          <w:u w:val="single"/>
        </w:rPr>
        <w:t>Premedication</w:t>
      </w:r>
      <w:r w:rsidRPr="00E42614">
        <w:rPr>
          <w:i/>
          <w:iCs/>
          <w:noProof w:val="0"/>
          <w:sz w:val="14"/>
          <w:szCs w:val="14"/>
        </w:rPr>
        <w:t xml:space="preserve"> </w:t>
      </w:r>
    </w:p>
    <w:p w14:paraId="2CDB1595"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rPr>
        <w:t xml:space="preserve">Premedicate prior to Tzield infusion for the first 5 days of dosing with: (1) a nonsteroidal anti-inflammatory drug (NSAID) or paracetamol, (2) an antihistamine, and/or (3) consider use of an antiemetic (see SmPC). Administer additional doses of premedication if needed. </w:t>
      </w:r>
    </w:p>
    <w:p w14:paraId="6BD7CBE5"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u w:val="single"/>
        </w:rPr>
        <w:t>Posology</w:t>
      </w:r>
      <w:r w:rsidRPr="00E42614">
        <w:rPr>
          <w:noProof w:val="0"/>
          <w:sz w:val="14"/>
          <w:szCs w:val="14"/>
        </w:rPr>
        <w:t>: Administer Tzield by intravenous infusion (over a minimum of 30 minutes), using a body surface area-based dosing (BSA), once daily for 14 consecutive days as follows: Day 1: 65 mcg/m</w:t>
      </w:r>
      <w:r w:rsidRPr="00E42614">
        <w:rPr>
          <w:noProof w:val="0"/>
          <w:sz w:val="14"/>
          <w:szCs w:val="14"/>
          <w:vertAlign w:val="superscript"/>
        </w:rPr>
        <w:t>2</w:t>
      </w:r>
      <w:r w:rsidRPr="00E42614">
        <w:rPr>
          <w:noProof w:val="0"/>
          <w:sz w:val="14"/>
          <w:szCs w:val="14"/>
        </w:rPr>
        <w:t>. Day 2: 125 mcg/m</w:t>
      </w:r>
      <w:r w:rsidRPr="00E42614">
        <w:rPr>
          <w:noProof w:val="0"/>
          <w:sz w:val="14"/>
          <w:szCs w:val="14"/>
          <w:vertAlign w:val="superscript"/>
        </w:rPr>
        <w:t>2</w:t>
      </w:r>
      <w:r w:rsidRPr="00E42614">
        <w:rPr>
          <w:noProof w:val="0"/>
          <w:sz w:val="14"/>
          <w:szCs w:val="14"/>
        </w:rPr>
        <w:t>. Day 3: 250 mcg/m</w:t>
      </w:r>
      <w:r w:rsidRPr="00E42614">
        <w:rPr>
          <w:noProof w:val="0"/>
          <w:sz w:val="14"/>
          <w:szCs w:val="14"/>
          <w:vertAlign w:val="superscript"/>
        </w:rPr>
        <w:t>2</w:t>
      </w:r>
      <w:r w:rsidRPr="00E42614">
        <w:rPr>
          <w:noProof w:val="0"/>
          <w:sz w:val="14"/>
          <w:szCs w:val="14"/>
        </w:rPr>
        <w:t>. Day 4: 500 mcg/m</w:t>
      </w:r>
      <w:r w:rsidRPr="00E42614">
        <w:rPr>
          <w:noProof w:val="0"/>
          <w:sz w:val="14"/>
          <w:szCs w:val="14"/>
          <w:vertAlign w:val="superscript"/>
        </w:rPr>
        <w:t>2</w:t>
      </w:r>
      <w:r w:rsidRPr="00E42614">
        <w:rPr>
          <w:noProof w:val="0"/>
          <w:sz w:val="14"/>
          <w:szCs w:val="14"/>
        </w:rPr>
        <w:t>. Days 5 through 14: 1.030 mcg/m</w:t>
      </w:r>
      <w:r w:rsidRPr="00E42614">
        <w:rPr>
          <w:noProof w:val="0"/>
          <w:sz w:val="14"/>
          <w:szCs w:val="14"/>
          <w:vertAlign w:val="superscript"/>
        </w:rPr>
        <w:t>2</w:t>
      </w:r>
      <w:r w:rsidRPr="00E42614">
        <w:rPr>
          <w:noProof w:val="0"/>
          <w:sz w:val="14"/>
          <w:szCs w:val="14"/>
        </w:rPr>
        <w:t xml:space="preserve">. Do not administer two doses on the same day. </w:t>
      </w:r>
    </w:p>
    <w:p w14:paraId="50B5F711"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u w:val="single"/>
        </w:rPr>
        <w:t>Missed Dose</w:t>
      </w:r>
      <w:r w:rsidRPr="00E42614">
        <w:rPr>
          <w:i/>
          <w:iCs/>
          <w:noProof w:val="0"/>
          <w:sz w:val="14"/>
          <w:szCs w:val="14"/>
        </w:rPr>
        <w:t xml:space="preserve">: </w:t>
      </w:r>
      <w:r w:rsidRPr="00E42614">
        <w:rPr>
          <w:noProof w:val="0"/>
          <w:sz w:val="14"/>
          <w:szCs w:val="14"/>
        </w:rPr>
        <w:t xml:space="preserve">If a planned Tzield infusion is missed, resume dosing by administering all remaining doses on consecutive days to complete the 14-day treatment course. </w:t>
      </w:r>
    </w:p>
    <w:p w14:paraId="6FD43026"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u w:val="single"/>
        </w:rPr>
        <w:t>Special populations</w:t>
      </w:r>
      <w:r w:rsidRPr="00E42614">
        <w:rPr>
          <w:i/>
          <w:iCs/>
          <w:noProof w:val="0"/>
          <w:sz w:val="14"/>
          <w:szCs w:val="14"/>
        </w:rPr>
        <w:t xml:space="preserve">: Elderly patients: </w:t>
      </w:r>
      <w:r w:rsidRPr="00E42614">
        <w:rPr>
          <w:noProof w:val="0"/>
          <w:sz w:val="14"/>
          <w:szCs w:val="14"/>
        </w:rPr>
        <w:t xml:space="preserve">Clinical studies of Tzield did not include patients 65 years of age and older. </w:t>
      </w:r>
    </w:p>
    <w:p w14:paraId="3A480E00"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u w:val="single"/>
        </w:rPr>
        <w:t>Paediatric patients</w:t>
      </w:r>
      <w:r w:rsidRPr="00E42614">
        <w:rPr>
          <w:i/>
          <w:iCs/>
          <w:noProof w:val="0"/>
          <w:sz w:val="14"/>
          <w:szCs w:val="14"/>
        </w:rPr>
        <w:t xml:space="preserve">: </w:t>
      </w:r>
      <w:r w:rsidRPr="00E42614">
        <w:rPr>
          <w:noProof w:val="0"/>
          <w:sz w:val="14"/>
          <w:szCs w:val="14"/>
        </w:rPr>
        <w:t xml:space="preserve">The safety and efficacy of Tzield in children younger than 8 years of age has not been established. No data are available. </w:t>
      </w:r>
    </w:p>
    <w:p w14:paraId="794DFAED"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Contraindications</w:t>
      </w:r>
      <w:r w:rsidRPr="00E42614">
        <w:rPr>
          <w:noProof w:val="0"/>
          <w:sz w:val="14"/>
          <w:szCs w:val="14"/>
        </w:rPr>
        <w:t xml:space="preserve">: Hypersensitivity to the active substance or to any of the excipients. </w:t>
      </w:r>
    </w:p>
    <w:p w14:paraId="3FA049A3"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 xml:space="preserve">Warnings and precautions: </w:t>
      </w:r>
      <w:r w:rsidRPr="00E42614">
        <w:rPr>
          <w:i/>
          <w:iCs/>
          <w:noProof w:val="0"/>
          <w:sz w:val="14"/>
          <w:szCs w:val="14"/>
          <w:u w:val="single"/>
        </w:rPr>
        <w:t>Cytokine Release Syndrome</w:t>
      </w:r>
      <w:r w:rsidRPr="00E42614">
        <w:rPr>
          <w:i/>
          <w:iCs/>
          <w:noProof w:val="0"/>
          <w:sz w:val="14"/>
          <w:szCs w:val="14"/>
        </w:rPr>
        <w:t xml:space="preserve"> (CRS): </w:t>
      </w:r>
      <w:r w:rsidRPr="00E42614">
        <w:rPr>
          <w:noProof w:val="0"/>
          <w:sz w:val="14"/>
          <w:szCs w:val="14"/>
        </w:rPr>
        <w:t xml:space="preserve">CRS has been observed in patients treated with Tzield. In clinical trials, CRS was reported in 6% of patients treated with Tzield compared to 1% of patients in the control group during the treatment period and through 28 days after the last study drug administration. CRS manifestations in patients treated with Tzield included fever, nausea, fatigue, headache, myalgia, arthralgia, increased ALT, increased AST, and increased total bilirubin. These manifestations typically occurred during the first 5 days of Tzield treatment. </w:t>
      </w:r>
    </w:p>
    <w:p w14:paraId="0335CFA8"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rPr>
        <w:t xml:space="preserve">To mitigate CRS: Premedicate with antipyretics, antihistamines and/or antiemetics prior to Tzield treatment. Monitor liver enzymes and bilirubin during </w:t>
      </w:r>
      <w:r w:rsidRPr="00E42614">
        <w:rPr>
          <w:noProof w:val="0"/>
          <w:sz w:val="14"/>
          <w:szCs w:val="14"/>
        </w:rPr>
        <w:t xml:space="preserve">treatment. Discontinue Tzield treatment in patients who develop elevated ALT or AST more than 5 times the upper limit of normal (ULN) or bilirubin more than 3 times ULN. Treat symptoms of CRS with antipyretics, antihistamines and/or antiemetics. If severe CRS develops, consider temporarily pausing dosing for 1-2 days (and administer the remaining doses to complete the full 14-day course on consecutive days) or discontinuing treatment. </w:t>
      </w:r>
    </w:p>
    <w:p w14:paraId="426C008D"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u w:val="single"/>
        </w:rPr>
        <w:t>Serious Infections</w:t>
      </w:r>
      <w:r w:rsidRPr="00E42614">
        <w:rPr>
          <w:i/>
          <w:iCs/>
          <w:noProof w:val="0"/>
          <w:sz w:val="14"/>
          <w:szCs w:val="14"/>
        </w:rPr>
        <w:t xml:space="preserve">: </w:t>
      </w:r>
      <w:r w:rsidRPr="00E42614">
        <w:rPr>
          <w:noProof w:val="0"/>
          <w:sz w:val="14"/>
          <w:szCs w:val="14"/>
        </w:rPr>
        <w:t xml:space="preserve">Bacterial and viral infections have occurred in patients treated with Tzield. In clinical trials, patients treated with Tzield had a higher rate of serious infections (3.5%) than patients in the control group (2%), including gastroenteritis, cellulitis, pneumonia, abscess, sepsis. Use of Tzield is not recommended in patients with active serious infection or chronic infection other than localised skin infections. Monitor patients for signs and symptoms of infection during and after Tzield treatment. If serious infection develops, treat appropriately, and discontinue Tzield. </w:t>
      </w:r>
    </w:p>
    <w:p w14:paraId="445DF49F"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u w:val="single"/>
        </w:rPr>
        <w:t>Lymphopenia</w:t>
      </w:r>
      <w:r w:rsidRPr="00E42614">
        <w:rPr>
          <w:i/>
          <w:iCs/>
          <w:noProof w:val="0"/>
          <w:sz w:val="14"/>
          <w:szCs w:val="14"/>
        </w:rPr>
        <w:t xml:space="preserve">: </w:t>
      </w:r>
      <w:r w:rsidRPr="00E42614">
        <w:rPr>
          <w:noProof w:val="0"/>
          <w:sz w:val="14"/>
          <w:szCs w:val="14"/>
        </w:rPr>
        <w:t>In clinical trials, 80% of patients treated with Tzield developed lymphopenia compared to 17% of patients in the control group. For most patients treated with Tzield who experienced lymphopenia, lymphocyte levels began to recover after the fifth day of treatment and returned to pre-treatment values within two weeks after treatment completion and without dose interruption. Severe lymphopenia (&lt;0.5 x 10</w:t>
      </w:r>
      <w:r w:rsidRPr="00E42614">
        <w:rPr>
          <w:noProof w:val="0"/>
          <w:sz w:val="14"/>
          <w:szCs w:val="14"/>
          <w:vertAlign w:val="superscript"/>
        </w:rPr>
        <w:t>9</w:t>
      </w:r>
      <w:r w:rsidRPr="00E42614">
        <w:rPr>
          <w:noProof w:val="0"/>
          <w:sz w:val="14"/>
          <w:szCs w:val="14"/>
        </w:rPr>
        <w:t xml:space="preserve"> cells/L) lasting 1 week or longer occurred in 0.9% of patients treated with Tzield and 0.5% of patients treated with Tzield permanently discontinued Tzield because of lymphopenia. Monitor white blood cell counts during the treatment period. If prolonged severe lymphopenia (&lt;0.5 x 10</w:t>
      </w:r>
      <w:r w:rsidRPr="00E42614">
        <w:rPr>
          <w:noProof w:val="0"/>
          <w:sz w:val="14"/>
          <w:szCs w:val="14"/>
          <w:vertAlign w:val="superscript"/>
        </w:rPr>
        <w:t>9</w:t>
      </w:r>
      <w:r w:rsidRPr="00E42614">
        <w:rPr>
          <w:noProof w:val="0"/>
          <w:sz w:val="14"/>
          <w:szCs w:val="14"/>
        </w:rPr>
        <w:t xml:space="preserve"> cells/L lasting 1 week or longer) develops, discontinue Tzield. </w:t>
      </w:r>
    </w:p>
    <w:p w14:paraId="637E489C"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u w:val="single"/>
        </w:rPr>
        <w:t>Hypersensitivity Reactions</w:t>
      </w:r>
      <w:r w:rsidRPr="00E42614">
        <w:rPr>
          <w:i/>
          <w:iCs/>
          <w:noProof w:val="0"/>
          <w:sz w:val="14"/>
          <w:szCs w:val="14"/>
        </w:rPr>
        <w:t xml:space="preserve">: </w:t>
      </w:r>
      <w:r w:rsidRPr="00E42614">
        <w:rPr>
          <w:noProof w:val="0"/>
          <w:sz w:val="14"/>
          <w:szCs w:val="14"/>
        </w:rPr>
        <w:t xml:space="preserve">Acute hypersensitivity reactions including serum sickness, angioedema, urticaria, rash, vomiting and bronchospasm occurred in patients treated with Tzield. If severe hypersensitivity reactions occur, discontinue use of Tzield and treat promptly. </w:t>
      </w:r>
    </w:p>
    <w:p w14:paraId="7EB46222"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u w:val="single"/>
        </w:rPr>
        <w:t>Vaccinations</w:t>
      </w:r>
      <w:r w:rsidRPr="00E42614">
        <w:rPr>
          <w:i/>
          <w:iCs/>
          <w:noProof w:val="0"/>
          <w:sz w:val="14"/>
          <w:szCs w:val="14"/>
        </w:rPr>
        <w:t xml:space="preserve">: </w:t>
      </w:r>
      <w:r w:rsidRPr="00E42614">
        <w:rPr>
          <w:noProof w:val="0"/>
          <w:sz w:val="14"/>
          <w:szCs w:val="14"/>
        </w:rPr>
        <w:t xml:space="preserve">The safety of immunisation with live-attenuated vaccines in patients treated with Tzield has not been studied. Additionally, Tzield may interfere with the immune response to vaccination and decrease vaccine efficacy. Administer all age-appropriate vaccinations prior to starting Tzield. Inactivated or mRNA vaccinations are not recommended within the 2 weeks prior to Tzield treatment, during treatment, or 6 weeks after completion of treatment. Live-attenuated vaccinations are not recommended within the 8 weeks prior to Tzield treatment, during treatment, or up to 52 weeks after treatment. </w:t>
      </w:r>
    </w:p>
    <w:p w14:paraId="6925ADE8"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u w:val="single"/>
        </w:rPr>
        <w:t>Concomitant Immunosuppressive Medication</w:t>
      </w:r>
      <w:r w:rsidRPr="00E42614">
        <w:rPr>
          <w:i/>
          <w:iCs/>
          <w:noProof w:val="0"/>
          <w:sz w:val="14"/>
          <w:szCs w:val="14"/>
        </w:rPr>
        <w:t xml:space="preserve">: </w:t>
      </w:r>
    </w:p>
    <w:p w14:paraId="658D8B59"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rPr>
        <w:t xml:space="preserve">In type 1 diabetes studies, the safety and efficacy of teplizumab in combination with immunosuppressive medication have not been evaluated (see SmPC). Caution </w:t>
      </w:r>
      <w:r w:rsidRPr="00E42614">
        <w:rPr>
          <w:noProof w:val="0"/>
          <w:sz w:val="14"/>
          <w:szCs w:val="14"/>
        </w:rPr>
        <w:lastRenderedPageBreak/>
        <w:t xml:space="preserve">should be exercised when considering concomitant use of immunosuppressive medication. </w:t>
      </w:r>
    </w:p>
    <w:p w14:paraId="0227CF05"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rPr>
        <w:t>Excipients</w:t>
      </w:r>
      <w:r w:rsidRPr="00E42614">
        <w:rPr>
          <w:noProof w:val="0"/>
          <w:sz w:val="14"/>
          <w:szCs w:val="14"/>
        </w:rPr>
        <w:t xml:space="preserve">: </w:t>
      </w:r>
      <w:r w:rsidRPr="00E42614">
        <w:rPr>
          <w:i/>
          <w:iCs/>
          <w:noProof w:val="0"/>
          <w:sz w:val="14"/>
          <w:szCs w:val="14"/>
        </w:rPr>
        <w:t xml:space="preserve">Sodium: </w:t>
      </w:r>
      <w:r w:rsidRPr="00E42614">
        <w:rPr>
          <w:noProof w:val="0"/>
          <w:sz w:val="14"/>
          <w:szCs w:val="14"/>
        </w:rPr>
        <w:t xml:space="preserve">This medicinal product contains less than 1 mmol sodium (23 mg) per vial, that is to say essentially ‘sodium-free’. Tzield is administered in 0.9% sodium chloride intravenous solution (see SmPC). </w:t>
      </w:r>
    </w:p>
    <w:p w14:paraId="4C3DA5B1" w14:textId="77777777" w:rsidR="00F31AD9" w:rsidRPr="00E42614" w:rsidRDefault="00F31AD9" w:rsidP="00F31AD9">
      <w:pPr>
        <w:pStyle w:val="EndNoteBibliography"/>
        <w:spacing w:before="60" w:after="60"/>
        <w:ind w:left="113" w:right="113"/>
        <w:jc w:val="both"/>
        <w:rPr>
          <w:noProof w:val="0"/>
          <w:sz w:val="14"/>
          <w:szCs w:val="14"/>
        </w:rPr>
      </w:pPr>
      <w:r w:rsidRPr="00E42614">
        <w:rPr>
          <w:i/>
          <w:iCs/>
          <w:noProof w:val="0"/>
          <w:sz w:val="14"/>
          <w:szCs w:val="14"/>
        </w:rPr>
        <w:t xml:space="preserve">Polysorbate 80 </w:t>
      </w:r>
      <w:r w:rsidRPr="00E42614">
        <w:rPr>
          <w:noProof w:val="0"/>
          <w:sz w:val="14"/>
          <w:szCs w:val="14"/>
        </w:rPr>
        <w:t>This medicinal product contains 0.10 mg of polysorbate 80 in each vial which is equivalent to 0.05 mg/</w:t>
      </w:r>
      <w:proofErr w:type="spellStart"/>
      <w:r w:rsidRPr="00E42614">
        <w:rPr>
          <w:noProof w:val="0"/>
          <w:sz w:val="14"/>
          <w:szCs w:val="14"/>
        </w:rPr>
        <w:t>mL.</w:t>
      </w:r>
      <w:proofErr w:type="spellEnd"/>
      <w:r w:rsidRPr="00E42614">
        <w:rPr>
          <w:noProof w:val="0"/>
          <w:sz w:val="14"/>
          <w:szCs w:val="14"/>
        </w:rPr>
        <w:t xml:space="preserve"> </w:t>
      </w:r>
    </w:p>
    <w:p w14:paraId="740A5DF4"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 xml:space="preserve">Interactions: </w:t>
      </w:r>
      <w:r w:rsidRPr="00E42614">
        <w:rPr>
          <w:noProof w:val="0"/>
          <w:sz w:val="14"/>
          <w:szCs w:val="14"/>
        </w:rPr>
        <w:t xml:space="preserve">No drug interaction studies have been performed. </w:t>
      </w:r>
    </w:p>
    <w:p w14:paraId="4CC344A3"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 xml:space="preserve">Fertility, pregnancy and lactation: </w:t>
      </w:r>
      <w:r w:rsidRPr="00E42614">
        <w:rPr>
          <w:i/>
          <w:iCs/>
          <w:noProof w:val="0"/>
          <w:sz w:val="14"/>
          <w:szCs w:val="14"/>
        </w:rPr>
        <w:t>Pregnancy</w:t>
      </w:r>
      <w:r w:rsidRPr="00E42614">
        <w:rPr>
          <w:noProof w:val="0"/>
          <w:sz w:val="14"/>
          <w:szCs w:val="14"/>
        </w:rPr>
        <w:t>: To minimise exposure to a foetus, avoid use of Tzield during pregnancy and for at least 30 days prior to planned pregnancy</w:t>
      </w:r>
    </w:p>
    <w:p w14:paraId="7A2D09BD"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rPr>
        <w:t>Breast-feeding: There are no data on the presence of Tzield in human milk, effects on milk production, or effects on the breastfed child. As endogenous maternal IgG and monoclonal antibodies are transferred into human milk, a lactating woman may interrupt breastfeeding and pump and discard breast milk during treatment and for 20 days after Tzield administration to minimise drug exposure to a breastfed child.</w:t>
      </w:r>
    </w:p>
    <w:p w14:paraId="2CDB8069"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rPr>
        <w:t>Fertility: There are no clinical data available for teplizumab on the effects on fertility.</w:t>
      </w:r>
    </w:p>
    <w:p w14:paraId="7BDA1395" w14:textId="77777777" w:rsidR="00F31AD9" w:rsidRPr="00E42614" w:rsidRDefault="00F31AD9" w:rsidP="00F31AD9">
      <w:pPr>
        <w:pStyle w:val="EndNoteBibliography"/>
        <w:spacing w:before="60" w:after="60"/>
        <w:ind w:left="113" w:right="113"/>
        <w:jc w:val="both"/>
        <w:rPr>
          <w:b/>
          <w:bCs/>
          <w:noProof w:val="0"/>
          <w:sz w:val="14"/>
          <w:szCs w:val="14"/>
        </w:rPr>
      </w:pPr>
      <w:r w:rsidRPr="00E42614">
        <w:rPr>
          <w:b/>
          <w:bCs/>
          <w:noProof w:val="0"/>
          <w:sz w:val="14"/>
          <w:szCs w:val="14"/>
        </w:rPr>
        <w:t>Adverse Reactions:</w:t>
      </w:r>
    </w:p>
    <w:p w14:paraId="782E3A5B"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u w:val="single"/>
        </w:rPr>
        <w:t>Very common</w:t>
      </w:r>
      <w:r w:rsidRPr="00E42614">
        <w:rPr>
          <w:noProof w:val="0"/>
          <w:sz w:val="14"/>
          <w:szCs w:val="14"/>
        </w:rPr>
        <w:t>: Lymphopenia, leukopenia, neutropenia, decreased haemoglobin, thrombocytopenia, headache, nausea, rash, pruritus, pyrexia, increased alanine aminotransferase, increased aspartate aminotransferase, decreased blood bicarbonate and decreased blood calcium.</w:t>
      </w:r>
    </w:p>
    <w:p w14:paraId="20819F62"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u w:val="single"/>
        </w:rPr>
        <w:t>Common</w:t>
      </w:r>
      <w:r w:rsidRPr="00E42614">
        <w:rPr>
          <w:noProof w:val="0"/>
          <w:sz w:val="14"/>
          <w:szCs w:val="14"/>
        </w:rPr>
        <w:t>: Cytokine release syndrome, nasopharyngitis, diarrhoea, urticaria and chills</w:t>
      </w:r>
    </w:p>
    <w:p w14:paraId="27CC42DA"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u w:val="single"/>
        </w:rPr>
        <w:t>Other Serious Adverse Drug Reactions</w:t>
      </w:r>
      <w:r w:rsidRPr="00E42614">
        <w:rPr>
          <w:noProof w:val="0"/>
          <w:sz w:val="14"/>
          <w:szCs w:val="14"/>
        </w:rPr>
        <w:t>: Haemoglobin decreased and thrombocytopenia, liver enzyme and bilirubin elevations and anti-teplizumab antibodies.</w:t>
      </w:r>
    </w:p>
    <w:p w14:paraId="622D6D46" w14:textId="77777777" w:rsidR="00F31AD9" w:rsidRPr="00E42614" w:rsidRDefault="00F31AD9" w:rsidP="00F31AD9">
      <w:pPr>
        <w:pStyle w:val="EndNoteBibliography"/>
        <w:spacing w:before="60" w:after="60"/>
        <w:ind w:left="113" w:right="113"/>
        <w:jc w:val="both"/>
        <w:rPr>
          <w:noProof w:val="0"/>
          <w:sz w:val="14"/>
          <w:szCs w:val="14"/>
        </w:rPr>
      </w:pPr>
      <w:r w:rsidRPr="00E42614">
        <w:rPr>
          <w:noProof w:val="0"/>
          <w:sz w:val="14"/>
          <w:szCs w:val="14"/>
        </w:rPr>
        <w:t>Prescribers should consult the SmPC in relation to other adverse reactions.</w:t>
      </w:r>
    </w:p>
    <w:p w14:paraId="03C60C98"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Legal Category:</w:t>
      </w:r>
      <w:r w:rsidRPr="00E42614">
        <w:rPr>
          <w:noProof w:val="0"/>
          <w:sz w:val="14"/>
          <w:szCs w:val="14"/>
        </w:rPr>
        <w:t xml:space="preserve"> POM</w:t>
      </w:r>
    </w:p>
    <w:p w14:paraId="5FDDE7DA"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List price:</w:t>
      </w:r>
      <w:r w:rsidRPr="00E42614">
        <w:rPr>
          <w:noProof w:val="0"/>
          <w:sz w:val="14"/>
          <w:szCs w:val="14"/>
        </w:rPr>
        <w:t xml:space="preserve"> TZIELD 2mg/2ml x 1 vial: £10,939.12</w:t>
      </w:r>
    </w:p>
    <w:p w14:paraId="5F147EB8"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Marketing Authorisation Number:</w:t>
      </w:r>
      <w:r w:rsidRPr="00E42614">
        <w:rPr>
          <w:noProof w:val="0"/>
          <w:sz w:val="14"/>
          <w:szCs w:val="14"/>
        </w:rPr>
        <w:t xml:space="preserve"> PLGB 04425/0908</w:t>
      </w:r>
    </w:p>
    <w:p w14:paraId="304E4198"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Marketing Authorisation Holder:</w:t>
      </w:r>
      <w:r w:rsidRPr="00E42614">
        <w:rPr>
          <w:noProof w:val="0"/>
          <w:sz w:val="14"/>
          <w:szCs w:val="14"/>
        </w:rPr>
        <w:t xml:space="preserve"> Sanofi, 410 Thames Valley Park Drive, Reading, Berkshire, RG6 1PT, UK.</w:t>
      </w:r>
    </w:p>
    <w:p w14:paraId="45373B83"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Further information is available from:</w:t>
      </w:r>
      <w:r w:rsidRPr="00E42614">
        <w:rPr>
          <w:noProof w:val="0"/>
          <w:sz w:val="14"/>
          <w:szCs w:val="14"/>
        </w:rPr>
        <w:t xml:space="preserve"> Sanofi, 410 Thames Valley Park Drive, Reading, Berkshire, RG6 1PT uk-medicalinformation@sanofi.com.</w:t>
      </w:r>
    </w:p>
    <w:p w14:paraId="72F2DB84"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Date of preparation:</w:t>
      </w:r>
      <w:r w:rsidRPr="00E42614">
        <w:rPr>
          <w:noProof w:val="0"/>
          <w:sz w:val="14"/>
          <w:szCs w:val="14"/>
        </w:rPr>
        <w:t xml:space="preserve"> August 2025</w:t>
      </w:r>
    </w:p>
    <w:p w14:paraId="69DC495E" w14:textId="77777777" w:rsidR="00F31AD9" w:rsidRPr="00E42614" w:rsidRDefault="00F31AD9" w:rsidP="00F31AD9">
      <w:pPr>
        <w:pStyle w:val="EndNoteBibliography"/>
        <w:spacing w:before="60" w:after="60"/>
        <w:ind w:left="113" w:right="113"/>
        <w:jc w:val="both"/>
        <w:rPr>
          <w:noProof w:val="0"/>
          <w:sz w:val="14"/>
          <w:szCs w:val="14"/>
        </w:rPr>
      </w:pPr>
      <w:r w:rsidRPr="00E42614">
        <w:rPr>
          <w:b/>
          <w:bCs/>
          <w:noProof w:val="0"/>
          <w:sz w:val="14"/>
          <w:szCs w:val="14"/>
        </w:rPr>
        <w:t>Document Number:</w:t>
      </w:r>
      <w:r w:rsidRPr="00E42614">
        <w:rPr>
          <w:noProof w:val="0"/>
          <w:sz w:val="14"/>
          <w:szCs w:val="14"/>
        </w:rPr>
        <w:t xml:space="preserve"> MAT-XU-2500984(v1.0)</w:t>
      </w:r>
    </w:p>
    <w:p w14:paraId="1F61C6F9" w14:textId="68EDAA15" w:rsidR="00F31AD9" w:rsidRPr="00E42614" w:rsidRDefault="00F31AD9" w:rsidP="00F31AD9">
      <w:pPr>
        <w:pStyle w:val="EndNoteBibliography"/>
        <w:spacing w:before="120" w:after="120"/>
        <w:rPr>
          <w:b/>
          <w:bCs/>
          <w:noProof w:val="0"/>
          <w:color w:val="0023C8"/>
          <w:szCs w:val="18"/>
        </w:rPr>
        <w:sectPr w:rsidR="00F31AD9" w:rsidRPr="00E42614" w:rsidSect="00F31AD9">
          <w:headerReference w:type="default" r:id="rId20"/>
          <w:footerReference w:type="default" r:id="rId21"/>
          <w:footerReference w:type="first" r:id="rId22"/>
          <w:type w:val="continuous"/>
          <w:pgSz w:w="12240" w:h="15840"/>
          <w:pgMar w:top="1701" w:right="1701" w:bottom="1134" w:left="1701" w:header="720" w:footer="454" w:gutter="0"/>
          <w:cols w:num="2" w:space="284"/>
          <w:titlePg/>
          <w:docGrid w:linePitch="360"/>
        </w:sectPr>
      </w:pPr>
    </w:p>
    <w:p w14:paraId="051B0B1D" w14:textId="4722DC30" w:rsidR="00E76C90" w:rsidRPr="00E42614" w:rsidRDefault="00F31AD9" w:rsidP="00974651">
      <w:pPr>
        <w:pStyle w:val="EndNoteBibliography"/>
        <w:spacing w:before="120" w:after="120"/>
        <w:rPr>
          <w:noProof w:val="0"/>
          <w:szCs w:val="16"/>
        </w:rPr>
        <w:sectPr w:rsidR="00E76C90" w:rsidRPr="00E42614" w:rsidSect="00DB53A8">
          <w:footerReference w:type="default" r:id="rId23"/>
          <w:type w:val="continuous"/>
          <w:pgSz w:w="12240" w:h="15840"/>
          <w:pgMar w:top="1418" w:right="1800" w:bottom="1276" w:left="851" w:header="720" w:footer="720" w:gutter="0"/>
          <w:cols w:num="2" w:space="720"/>
          <w:docGrid w:linePitch="360"/>
        </w:sectPr>
      </w:pPr>
      <w:r>
        <w:rPr>
          <w:szCs w:val="16"/>
        </w:rPr>
        <mc:AlternateContent>
          <mc:Choice Requires="wps">
            <w:drawing>
              <wp:anchor distT="0" distB="0" distL="114300" distR="114300" simplePos="0" relativeHeight="251725824" behindDoc="0" locked="0" layoutInCell="1" allowOverlap="1" wp14:anchorId="67A80924" wp14:editId="2DDEE9CF">
                <wp:simplePos x="0" y="0"/>
                <wp:positionH relativeFrom="margin">
                  <wp:posOffset>43815</wp:posOffset>
                </wp:positionH>
                <wp:positionV relativeFrom="paragraph">
                  <wp:posOffset>145415</wp:posOffset>
                </wp:positionV>
                <wp:extent cx="5543550" cy="819150"/>
                <wp:effectExtent l="0" t="0" r="19050" b="19050"/>
                <wp:wrapNone/>
                <wp:docPr id="1606269147" name="Rectangle 12"/>
                <wp:cNvGraphicFramePr/>
                <a:graphic xmlns:a="http://schemas.openxmlformats.org/drawingml/2006/main">
                  <a:graphicData uri="http://schemas.microsoft.com/office/word/2010/wordprocessingShape">
                    <wps:wsp>
                      <wps:cNvSpPr/>
                      <wps:spPr>
                        <a:xfrm>
                          <a:off x="0" y="0"/>
                          <a:ext cx="5543550" cy="819150"/>
                        </a:xfrm>
                        <a:prstGeom prst="rect">
                          <a:avLst/>
                        </a:prstGeom>
                        <a:solidFill>
                          <a:schemeClr val="bg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57C8B566" w14:textId="00619EEE" w:rsidR="00DA5077" w:rsidRPr="00F31AD9" w:rsidRDefault="00DA5077" w:rsidP="00DA5077">
                            <w:pPr>
                              <w:pStyle w:val="EndNoteBibliography"/>
                              <w:spacing w:before="120" w:after="120"/>
                              <w:ind w:right="-291" w:hanging="284"/>
                              <w:jc w:val="center"/>
                              <w:rPr>
                                <w:b/>
                                <w:bCs/>
                                <w:noProof w:val="0"/>
                                <w:color w:val="262626" w:themeColor="text1" w:themeTint="D9"/>
                                <w:sz w:val="15"/>
                                <w:szCs w:val="15"/>
                              </w:rPr>
                            </w:pPr>
                            <w:r w:rsidRPr="00F31AD9">
                              <w:rPr>
                                <w:b/>
                                <w:bCs/>
                                <w:noProof w:val="0"/>
                                <w:color w:val="262626" w:themeColor="text1" w:themeTint="D9"/>
                                <w:sz w:val="15"/>
                                <w:szCs w:val="15"/>
                              </w:rPr>
                              <w:t xml:space="preserve">Adverse events should be reported. Reporting forms and information can be found at </w:t>
                            </w:r>
                            <w:r w:rsidRPr="00F31AD9">
                              <w:rPr>
                                <w:b/>
                                <w:bCs/>
                                <w:noProof w:val="0"/>
                                <w:color w:val="262626" w:themeColor="text1" w:themeTint="D9"/>
                                <w:sz w:val="15"/>
                                <w:szCs w:val="15"/>
                              </w:rPr>
                              <w:br/>
                            </w:r>
                            <w:hyperlink r:id="rId24" w:history="1">
                              <w:r w:rsidRPr="00F31AD9">
                                <w:rPr>
                                  <w:rStyle w:val="Hyperlink"/>
                                  <w:b/>
                                  <w:bCs/>
                                  <w:noProof w:val="0"/>
                                  <w:sz w:val="15"/>
                                  <w:szCs w:val="15"/>
                                </w:rPr>
                                <w:t>www.mhra.gov.uk/yellowcard</w:t>
                              </w:r>
                            </w:hyperlink>
                            <w:r w:rsidRPr="00F31AD9">
                              <w:rPr>
                                <w:b/>
                                <w:bCs/>
                                <w:noProof w:val="0"/>
                                <w:color w:val="262626" w:themeColor="text1" w:themeTint="D9"/>
                                <w:sz w:val="15"/>
                                <w:szCs w:val="15"/>
                              </w:rPr>
                              <w:t xml:space="preserve"> or search for MHRA Yellow Card in the Google Play or Apple App Store.</w:t>
                            </w:r>
                          </w:p>
                          <w:p w14:paraId="003406F4" w14:textId="470C5577" w:rsidR="00DA5077" w:rsidRPr="00F31AD9" w:rsidRDefault="00DA5077" w:rsidP="00DA5077">
                            <w:pPr>
                              <w:pStyle w:val="EndNoteBibliography"/>
                              <w:spacing w:before="120" w:after="120"/>
                              <w:jc w:val="center"/>
                              <w:rPr>
                                <w:b/>
                                <w:bCs/>
                                <w:noProof w:val="0"/>
                                <w:color w:val="262626" w:themeColor="text1" w:themeTint="D9"/>
                                <w:sz w:val="15"/>
                                <w:szCs w:val="15"/>
                              </w:rPr>
                            </w:pPr>
                            <w:r w:rsidRPr="00F31AD9">
                              <w:rPr>
                                <w:b/>
                                <w:bCs/>
                                <w:noProof w:val="0"/>
                                <w:color w:val="262626" w:themeColor="text1" w:themeTint="D9"/>
                                <w:sz w:val="15"/>
                                <w:szCs w:val="15"/>
                              </w:rPr>
                              <w:t>Adverse events should also be reported to the Sanofi drug safety department on Tel: 0800 0902 314.</w:t>
                            </w:r>
                          </w:p>
                        </w:txbxContent>
                      </wps:txbx>
                      <wps:bodyPr rot="0" spcFirstLastPara="0" vertOverflow="overflow" horzOverflow="overflow" vert="horz" wrap="square" lIns="180000" tIns="72000" rIns="180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A80924" id="Rectangle 12" o:spid="_x0000_s1032" style="position:absolute;margin-left:3.45pt;margin-top:11.45pt;width:436.5pt;height:64.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" fillcolor="white [3212]" strokecolor="black [3213]">
                <v:textbox inset="5mm,2mm,5mm,2mm">
                  <w:txbxContent>
                    <w:p w14:paraId="57C8B566" w14:textId="00619EEE" w:rsidR="00DA5077" w:rsidRPr="00F31AD9" w:rsidRDefault="00DA5077" w:rsidP="00DA5077">
                      <w:pPr>
                        <w:pStyle w:val="EndNoteBibliography"/>
                        <w:spacing w:before="120" w:after="120"/>
                        <w:ind w:right="-291" w:hanging="284"/>
                        <w:jc w:val="center"/>
                        <w:rPr>
                          <w:b/>
                          <w:bCs/>
                          <w:noProof w:val="0"/>
                          <w:color w:val="262626" w:themeColor="text1" w:themeTint="D9"/>
                          <w:sz w:val="15"/>
                          <w:szCs w:val="15"/>
                        </w:rPr>
                      </w:pPr>
                      <w:r w:rsidRPr="00F31AD9">
                        <w:rPr>
                          <w:b/>
                          <w:bCs/>
                          <w:noProof w:val="0"/>
                          <w:color w:val="262626" w:themeColor="text1" w:themeTint="D9"/>
                          <w:sz w:val="15"/>
                          <w:szCs w:val="15"/>
                        </w:rPr>
                        <w:t xml:space="preserve">Adverse events should be reported. Reporting forms and information can be found at </w:t>
                      </w:r>
                      <w:r w:rsidRPr="00F31AD9">
                        <w:rPr>
                          <w:b/>
                          <w:bCs/>
                          <w:noProof w:val="0"/>
                          <w:color w:val="262626" w:themeColor="text1" w:themeTint="D9"/>
                          <w:sz w:val="15"/>
                          <w:szCs w:val="15"/>
                        </w:rPr>
                        <w:br/>
                      </w:r>
                      <w:hyperlink r:id="rId25" w:history="1">
                        <w:r w:rsidRPr="00F31AD9">
                          <w:rPr>
                            <w:rStyle w:val="Hyperlink"/>
                            <w:b/>
                            <w:bCs/>
                            <w:noProof w:val="0"/>
                            <w:sz w:val="15"/>
                            <w:szCs w:val="15"/>
                          </w:rPr>
                          <w:t>www.mhra.gov.uk/yellowcard</w:t>
                        </w:r>
                      </w:hyperlink>
                      <w:r w:rsidRPr="00F31AD9">
                        <w:rPr>
                          <w:b/>
                          <w:bCs/>
                          <w:noProof w:val="0"/>
                          <w:color w:val="262626" w:themeColor="text1" w:themeTint="D9"/>
                          <w:sz w:val="15"/>
                          <w:szCs w:val="15"/>
                        </w:rPr>
                        <w:t xml:space="preserve"> or search for MHRA Yellow Card in the Google Play or Apple App Store.</w:t>
                      </w:r>
                    </w:p>
                    <w:p w14:paraId="003406F4" w14:textId="470C5577" w:rsidR="00DA5077" w:rsidRPr="00F31AD9" w:rsidRDefault="00DA5077" w:rsidP="00DA5077">
                      <w:pPr>
                        <w:pStyle w:val="EndNoteBibliography"/>
                        <w:spacing w:before="120" w:after="120"/>
                        <w:jc w:val="center"/>
                        <w:rPr>
                          <w:b/>
                          <w:bCs/>
                          <w:noProof w:val="0"/>
                          <w:color w:val="262626" w:themeColor="text1" w:themeTint="D9"/>
                          <w:sz w:val="15"/>
                          <w:szCs w:val="15"/>
                        </w:rPr>
                      </w:pPr>
                      <w:r w:rsidRPr="00F31AD9">
                        <w:rPr>
                          <w:b/>
                          <w:bCs/>
                          <w:noProof w:val="0"/>
                          <w:color w:val="262626" w:themeColor="text1" w:themeTint="D9"/>
                          <w:sz w:val="15"/>
                          <w:szCs w:val="15"/>
                        </w:rPr>
                        <w:t>Adverse events should also be reported to the Sanofi drug safety department on Tel: 0800 0902 314.</w:t>
                      </w:r>
                    </w:p>
                  </w:txbxContent>
                </v:textbox>
                <w10:wrap anchorx="margin"/>
              </v:rect>
            </w:pict>
          </mc:Fallback>
        </mc:AlternateContent>
      </w:r>
    </w:p>
    <w:p w14:paraId="4BDCF47D" w14:textId="40F763CE" w:rsidR="00B466AD" w:rsidRPr="00E42614" w:rsidRDefault="00B466AD" w:rsidP="00F31AD9">
      <w:pPr>
        <w:pStyle w:val="EndNoteBibliography"/>
        <w:spacing w:before="120" w:after="120"/>
        <w:rPr>
          <w:b/>
          <w:bCs/>
          <w:noProof w:val="0"/>
          <w:color w:val="262626" w:themeColor="text1" w:themeTint="D9"/>
          <w:sz w:val="14"/>
          <w:szCs w:val="14"/>
        </w:rPr>
      </w:pPr>
    </w:p>
    <w:p w14:paraId="62783BFB" w14:textId="18EDEB58" w:rsidR="00B466AD" w:rsidRPr="00E42614" w:rsidRDefault="00B466AD" w:rsidP="00974651">
      <w:pPr>
        <w:pStyle w:val="EndNoteBibliography"/>
        <w:spacing w:before="120" w:after="120"/>
        <w:jc w:val="center"/>
        <w:rPr>
          <w:b/>
          <w:bCs/>
          <w:noProof w:val="0"/>
          <w:color w:val="262626" w:themeColor="text1" w:themeTint="D9"/>
          <w:sz w:val="14"/>
          <w:szCs w:val="14"/>
        </w:rPr>
      </w:pPr>
    </w:p>
    <w:p w14:paraId="01CF7754" w14:textId="2C3DAA9F" w:rsidR="00FC3903" w:rsidRPr="00E42614" w:rsidRDefault="00FC3903" w:rsidP="00974651">
      <w:pPr>
        <w:pStyle w:val="EndNoteBibliography"/>
        <w:spacing w:before="120" w:after="120"/>
        <w:rPr>
          <w:b/>
          <w:bCs/>
          <w:noProof w:val="0"/>
          <w:color w:val="262626" w:themeColor="text1" w:themeTint="D9"/>
          <w:sz w:val="14"/>
          <w:szCs w:val="14"/>
        </w:rPr>
      </w:pPr>
    </w:p>
    <w:p w14:paraId="47629417" w14:textId="0821B1C1" w:rsidR="007C4B83" w:rsidRPr="00E42614" w:rsidRDefault="007C4B83" w:rsidP="00974651">
      <w:pPr>
        <w:pStyle w:val="EndNoteBibliography"/>
        <w:spacing w:before="120" w:after="120"/>
        <w:rPr>
          <w:b/>
          <w:bCs/>
          <w:noProof w:val="0"/>
          <w:color w:val="262626" w:themeColor="text1" w:themeTint="D9"/>
          <w:sz w:val="14"/>
          <w:szCs w:val="14"/>
        </w:rPr>
      </w:pPr>
    </w:p>
    <w:p w14:paraId="1B9E9814" w14:textId="2D378CD7" w:rsidR="00614D9A" w:rsidRDefault="00614D9A" w:rsidP="00974651">
      <w:pPr>
        <w:spacing w:before="120" w:after="120" w:line="240" w:lineRule="auto"/>
        <w:rPr>
          <w:rFonts w:ascii="Poppins" w:hAnsi="Poppins" w:cs="Poppins"/>
          <w:b/>
          <w:bCs/>
          <w:color w:val="262626" w:themeColor="text1" w:themeTint="D9"/>
          <w:sz w:val="14"/>
          <w:szCs w:val="14"/>
        </w:rPr>
      </w:pPr>
      <w:r>
        <w:rPr>
          <w:b/>
          <w:bCs/>
          <w:color w:val="262626" w:themeColor="text1" w:themeTint="D9"/>
          <w:sz w:val="14"/>
          <w:szCs w:val="14"/>
        </w:rPr>
        <w:br w:type="page"/>
      </w:r>
    </w:p>
    <w:p w14:paraId="2C36D592" w14:textId="5CBF8754" w:rsidR="00FC3903" w:rsidRPr="00E42614" w:rsidRDefault="00FC3903" w:rsidP="00974651">
      <w:pPr>
        <w:pStyle w:val="Heading1"/>
        <w:spacing w:before="120" w:after="120"/>
      </w:pPr>
      <w:bookmarkStart w:id="32" w:name="_Toc237332046"/>
      <w:r w:rsidRPr="00E42614">
        <w:lastRenderedPageBreak/>
        <w:t>R</w:t>
      </w:r>
      <w:r w:rsidR="0052567C" w:rsidRPr="00E42614">
        <w:t>eferences</w:t>
      </w:r>
      <w:bookmarkEnd w:id="32"/>
    </w:p>
    <w:p w14:paraId="52381094" w14:textId="77777777" w:rsidR="0038137D" w:rsidRPr="0038137D" w:rsidRDefault="00B466AD" w:rsidP="0038137D">
      <w:pPr>
        <w:pStyle w:val="EndNoteBibliography"/>
        <w:spacing w:after="0"/>
        <w:ind w:left="280" w:hanging="280"/>
      </w:pPr>
      <w:r w:rsidRPr="00DA5077">
        <w:rPr>
          <w:b/>
          <w:bCs/>
          <w:noProof w:val="0"/>
          <w:color w:val="262626" w:themeColor="text1" w:themeTint="D9"/>
          <w:sz w:val="21"/>
          <w:szCs w:val="21"/>
        </w:rPr>
        <w:fldChar w:fldCharType="begin"/>
      </w:r>
      <w:r w:rsidRPr="00DA5077">
        <w:rPr>
          <w:b/>
          <w:bCs/>
          <w:noProof w:val="0"/>
          <w:color w:val="262626" w:themeColor="text1" w:themeTint="D9"/>
          <w:sz w:val="21"/>
          <w:szCs w:val="21"/>
        </w:rPr>
        <w:instrText xml:space="preserve"> ADDIN EN.REFLIST </w:instrText>
      </w:r>
      <w:r w:rsidRPr="00DA5077">
        <w:rPr>
          <w:b/>
          <w:bCs/>
          <w:noProof w:val="0"/>
          <w:color w:val="262626" w:themeColor="text1" w:themeTint="D9"/>
          <w:sz w:val="21"/>
          <w:szCs w:val="21"/>
        </w:rPr>
        <w:fldChar w:fldCharType="separate"/>
      </w:r>
      <w:r w:rsidR="0038137D" w:rsidRPr="0038137D">
        <w:t>TZIELD® (teplizumab) UK Summary of Product Characteristics.</w:t>
      </w:r>
    </w:p>
    <w:p w14:paraId="5E08F7CA" w14:textId="77777777" w:rsidR="0038137D" w:rsidRPr="0038137D" w:rsidRDefault="0038137D" w:rsidP="0038137D">
      <w:pPr>
        <w:pStyle w:val="EndNoteBibliography"/>
        <w:spacing w:after="0"/>
        <w:ind w:left="280" w:hanging="280"/>
      </w:pPr>
      <w:r w:rsidRPr="0038137D">
        <w:t>Besser REJ</w:t>
      </w:r>
      <w:r w:rsidRPr="0038137D">
        <w:rPr>
          <w:i/>
        </w:rPr>
        <w:t>, et al.</w:t>
      </w:r>
      <w:r w:rsidRPr="0038137D">
        <w:t xml:space="preserve"> UK best practice recommendations for children and young people &lt;18</w:t>
      </w:r>
      <w:r w:rsidRPr="0038137D">
        <w:rPr>
          <w:rFonts w:ascii="Times New Roman" w:hAnsi="Times New Roman" w:cs="Times New Roman"/>
        </w:rPr>
        <w:t> </w:t>
      </w:r>
      <w:r w:rsidRPr="0038137D">
        <w:t xml:space="preserve">years with pre-stage 3 type 1 diabetes, on behalf of the British Society for Paediatric Endocrinology and Diabetes (BSPED). </w:t>
      </w:r>
      <w:r w:rsidRPr="0038137D">
        <w:rPr>
          <w:i/>
        </w:rPr>
        <w:t>Diabet Med</w:t>
      </w:r>
      <w:r w:rsidRPr="0038137D">
        <w:t xml:space="preserve"> 2025</w:t>
      </w:r>
      <w:r w:rsidRPr="0038137D">
        <w:rPr>
          <w:b/>
        </w:rPr>
        <w:t>:</w:t>
      </w:r>
      <w:r w:rsidRPr="0038137D">
        <w:t>e70117</w:t>
      </w:r>
    </w:p>
    <w:p w14:paraId="76D623AC" w14:textId="77777777" w:rsidR="0038137D" w:rsidRPr="0038137D" w:rsidRDefault="0038137D" w:rsidP="0038137D">
      <w:pPr>
        <w:pStyle w:val="EndNoteBibliography"/>
        <w:spacing w:after="0"/>
        <w:ind w:left="280" w:hanging="280"/>
      </w:pPr>
      <w:r w:rsidRPr="0038137D">
        <w:t>Dias RP</w:t>
      </w:r>
      <w:r w:rsidRPr="0038137D">
        <w:rPr>
          <w:i/>
        </w:rPr>
        <w:t>, et al.</w:t>
      </w:r>
      <w:r w:rsidRPr="0038137D">
        <w:t xml:space="preserve"> Considerations for the clinical use of teplizumab in stage 2 Type 1 diabetes: A Consensus Statement from the British Society of Paediatric Endocrinology and Diabetes (BSPED) and the Association of British Clinical Diabetologists (ABCD). </w:t>
      </w:r>
      <w:r w:rsidRPr="0038137D">
        <w:rPr>
          <w:i/>
        </w:rPr>
        <w:t>Diabet Med</w:t>
      </w:r>
      <w:r w:rsidRPr="0038137D">
        <w:t xml:space="preserve"> 2026;</w:t>
      </w:r>
      <w:r w:rsidRPr="0038137D">
        <w:rPr>
          <w:b/>
        </w:rPr>
        <w:t>43</w:t>
      </w:r>
      <w:r w:rsidRPr="0038137D">
        <w:t>(7)</w:t>
      </w:r>
      <w:r w:rsidRPr="0038137D">
        <w:rPr>
          <w:b/>
        </w:rPr>
        <w:t>:</w:t>
      </w:r>
      <w:r w:rsidRPr="0038137D">
        <w:t>e70329</w:t>
      </w:r>
    </w:p>
    <w:p w14:paraId="3C601D45" w14:textId="77777777" w:rsidR="0038137D" w:rsidRPr="0038137D" w:rsidRDefault="0038137D" w:rsidP="0038137D">
      <w:pPr>
        <w:pStyle w:val="EndNoteBibliography"/>
        <w:spacing w:after="0"/>
        <w:ind w:left="280" w:hanging="280"/>
      </w:pPr>
      <w:r w:rsidRPr="0038137D">
        <w:t>Herold KC</w:t>
      </w:r>
      <w:r w:rsidRPr="0038137D">
        <w:rPr>
          <w:i/>
        </w:rPr>
        <w:t>, et al.</w:t>
      </w:r>
      <w:r w:rsidRPr="0038137D">
        <w:t xml:space="preserve"> Teplizumab: A disease-modifying therapy for type 1 diabetes that preserves </w:t>
      </w:r>
      <w:r w:rsidRPr="0038137D">
        <w:rPr>
          <w:rFonts w:ascii="Cambria" w:hAnsi="Cambria" w:cs="Cambria"/>
        </w:rPr>
        <w:t>β</w:t>
      </w:r>
      <w:r w:rsidRPr="0038137D">
        <w:t xml:space="preserve">-cell function. </w:t>
      </w:r>
      <w:r w:rsidRPr="0038137D">
        <w:rPr>
          <w:i/>
        </w:rPr>
        <w:t>Diabetes Care</w:t>
      </w:r>
      <w:r w:rsidRPr="0038137D">
        <w:t xml:space="preserve"> 2023;</w:t>
      </w:r>
      <w:r w:rsidRPr="0038137D">
        <w:rPr>
          <w:b/>
        </w:rPr>
        <w:t>46</w:t>
      </w:r>
      <w:r w:rsidRPr="0038137D">
        <w:t>(10)</w:t>
      </w:r>
      <w:r w:rsidRPr="0038137D">
        <w:rPr>
          <w:b/>
        </w:rPr>
        <w:t>:</w:t>
      </w:r>
      <w:r w:rsidRPr="0038137D">
        <w:t>1848-1856</w:t>
      </w:r>
    </w:p>
    <w:p w14:paraId="219B3836" w14:textId="77777777" w:rsidR="0038137D" w:rsidRPr="0038137D" w:rsidRDefault="0038137D" w:rsidP="0038137D">
      <w:pPr>
        <w:pStyle w:val="EndNoteBibliography"/>
        <w:spacing w:after="0"/>
        <w:ind w:left="280" w:hanging="280"/>
      </w:pPr>
      <w:r w:rsidRPr="0038137D">
        <w:t>Insel RA</w:t>
      </w:r>
      <w:r w:rsidRPr="0038137D">
        <w:rPr>
          <w:i/>
        </w:rPr>
        <w:t>, et al.</w:t>
      </w:r>
      <w:r w:rsidRPr="0038137D">
        <w:t xml:space="preserve"> Staging presymptomatic type 1 diabetes: a scientific statement of JDRF, the Endocrine Society, and the American Diabetes Association. </w:t>
      </w:r>
      <w:r w:rsidRPr="0038137D">
        <w:rPr>
          <w:i/>
        </w:rPr>
        <w:t>Diabetes Care</w:t>
      </w:r>
      <w:r w:rsidRPr="0038137D">
        <w:t xml:space="preserve"> 2015;</w:t>
      </w:r>
      <w:r w:rsidRPr="0038137D">
        <w:rPr>
          <w:b/>
        </w:rPr>
        <w:t>38</w:t>
      </w:r>
      <w:r w:rsidRPr="0038137D">
        <w:t>(10)</w:t>
      </w:r>
      <w:r w:rsidRPr="0038137D">
        <w:rPr>
          <w:b/>
        </w:rPr>
        <w:t>:</w:t>
      </w:r>
      <w:r w:rsidRPr="0038137D">
        <w:t>1964-1974</w:t>
      </w:r>
    </w:p>
    <w:p w14:paraId="467E0A89" w14:textId="1F0CA1C8" w:rsidR="0038137D" w:rsidRPr="0038137D" w:rsidRDefault="0038137D" w:rsidP="0038137D">
      <w:pPr>
        <w:pStyle w:val="EndNoteBibliography"/>
        <w:spacing w:after="0"/>
        <w:ind w:left="280" w:hanging="280"/>
      </w:pPr>
      <w:r w:rsidRPr="0038137D">
        <w:t xml:space="preserve">NICE. First disease-modifying therapy to delay the onset of type 1 diabetes recommended for NHS use. 2026a. Available from: </w:t>
      </w:r>
      <w:hyperlink r:id="rId26" w:history="1">
        <w:r w:rsidRPr="0038137D">
          <w:rPr>
            <w:rStyle w:val="Hyperlink"/>
          </w:rPr>
          <w:t>https://www.nice.org.uk/news/articles/teplizumab-to-delay-the-onset-of-type-1-diabetes-recommended</w:t>
        </w:r>
      </w:hyperlink>
      <w:r w:rsidRPr="0038137D">
        <w:t>. [Accessed September 2026]</w:t>
      </w:r>
    </w:p>
    <w:p w14:paraId="2FD8C074" w14:textId="13C95750" w:rsidR="0038137D" w:rsidRPr="0038137D" w:rsidRDefault="0038137D" w:rsidP="0038137D">
      <w:pPr>
        <w:pStyle w:val="EndNoteBibliography"/>
        <w:spacing w:after="0"/>
        <w:ind w:left="280" w:hanging="280"/>
      </w:pPr>
      <w:r w:rsidRPr="0038137D">
        <w:t xml:space="preserve">NICE. Teplizumab for delaying the onset of stage 3 type 1 diabetes in people 8 years and over with stage 2 type 1 diabetes. 2026b. Available from: </w:t>
      </w:r>
      <w:hyperlink r:id="rId27" w:history="1">
        <w:r w:rsidRPr="0038137D">
          <w:rPr>
            <w:rStyle w:val="Hyperlink"/>
          </w:rPr>
          <w:t>https://www.nice.org.uk/guidance/ta1176</w:t>
        </w:r>
      </w:hyperlink>
      <w:r w:rsidRPr="0038137D">
        <w:t>. [Accessed September 2026]</w:t>
      </w:r>
    </w:p>
    <w:p w14:paraId="17DE40CD" w14:textId="77777777" w:rsidR="0038137D" w:rsidRPr="0038137D" w:rsidRDefault="0038137D" w:rsidP="0038137D">
      <w:pPr>
        <w:pStyle w:val="EndNoteBibliography"/>
        <w:spacing w:after="0"/>
        <w:ind w:left="280" w:hanging="280"/>
      </w:pPr>
      <w:r w:rsidRPr="0038137D">
        <w:t>Phillip M</w:t>
      </w:r>
      <w:r w:rsidRPr="0038137D">
        <w:rPr>
          <w:i/>
        </w:rPr>
        <w:t>, et al.</w:t>
      </w:r>
      <w:r w:rsidRPr="0038137D">
        <w:t xml:space="preserve"> Consensus guidance for monitoring individuals with islet autoantibody-positive pre-stage 3 type 1 diabetes. </w:t>
      </w:r>
      <w:r w:rsidRPr="0038137D">
        <w:rPr>
          <w:i/>
        </w:rPr>
        <w:t>Diabetes Care</w:t>
      </w:r>
      <w:r w:rsidRPr="0038137D">
        <w:t xml:space="preserve"> 2024;</w:t>
      </w:r>
      <w:r w:rsidRPr="0038137D">
        <w:rPr>
          <w:b/>
        </w:rPr>
        <w:t>47</w:t>
      </w:r>
      <w:r w:rsidRPr="0038137D">
        <w:t>(8)</w:t>
      </w:r>
      <w:r w:rsidRPr="0038137D">
        <w:rPr>
          <w:b/>
        </w:rPr>
        <w:t>:</w:t>
      </w:r>
      <w:r w:rsidRPr="0038137D">
        <w:t>1276-1298</w:t>
      </w:r>
    </w:p>
    <w:p w14:paraId="025F2F80" w14:textId="77777777" w:rsidR="0038137D" w:rsidRPr="0038137D" w:rsidRDefault="0038137D" w:rsidP="0038137D">
      <w:pPr>
        <w:pStyle w:val="EndNoteBibliography"/>
        <w:spacing w:after="0"/>
        <w:ind w:left="280" w:hanging="280"/>
      </w:pPr>
      <w:r w:rsidRPr="0038137D">
        <w:t>Sims EK</w:t>
      </w:r>
      <w:r w:rsidRPr="0038137D">
        <w:rPr>
          <w:i/>
        </w:rPr>
        <w:t>, et al.</w:t>
      </w:r>
      <w:r w:rsidRPr="0038137D">
        <w:t xml:space="preserve"> Screening for type 1 diabetes in the general population: a status report and perspective. </w:t>
      </w:r>
      <w:r w:rsidRPr="0038137D">
        <w:rPr>
          <w:i/>
        </w:rPr>
        <w:t>Diabetes</w:t>
      </w:r>
      <w:r w:rsidRPr="0038137D">
        <w:t xml:space="preserve"> 2022;</w:t>
      </w:r>
      <w:r w:rsidRPr="0038137D">
        <w:rPr>
          <w:b/>
        </w:rPr>
        <w:t>71</w:t>
      </w:r>
      <w:r w:rsidRPr="0038137D">
        <w:t>(4)</w:t>
      </w:r>
      <w:r w:rsidRPr="0038137D">
        <w:rPr>
          <w:b/>
        </w:rPr>
        <w:t>:</w:t>
      </w:r>
      <w:r w:rsidRPr="0038137D">
        <w:t>610-623</w:t>
      </w:r>
    </w:p>
    <w:p w14:paraId="11FEF458" w14:textId="18ADF0EF" w:rsidR="00D21E71" w:rsidRPr="00905FE9" w:rsidRDefault="00B466AD" w:rsidP="00974651">
      <w:pPr>
        <w:pStyle w:val="EndNoteBibliography"/>
        <w:spacing w:before="120" w:after="120"/>
        <w:jc w:val="center"/>
        <w:rPr>
          <w:b/>
          <w:bCs/>
          <w:color w:val="262626" w:themeColor="text1" w:themeTint="D9"/>
          <w:sz w:val="14"/>
          <w:szCs w:val="14"/>
        </w:rPr>
      </w:pPr>
      <w:r w:rsidRPr="00DA5077">
        <w:rPr>
          <w:b/>
          <w:bCs/>
          <w:noProof w:val="0"/>
          <w:color w:val="262626" w:themeColor="text1" w:themeTint="D9"/>
          <w:sz w:val="21"/>
          <w:szCs w:val="21"/>
        </w:rPr>
        <w:fldChar w:fldCharType="end"/>
      </w:r>
    </w:p>
    <w:sectPr w:rsidR="00D21E71" w:rsidRPr="00905FE9" w:rsidSect="00DB53A8">
      <w:footerReference w:type="default" r:id="rId28"/>
      <w:type w:val="continuous"/>
      <w:pgSz w:w="12240" w:h="15840"/>
      <w:pgMar w:top="1418" w:right="1800" w:bottom="1276" w:left="1800" w:header="720" w:footer="720" w:gutter="0"/>
      <w:pgNumType w:start="3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C807C" w14:textId="77777777" w:rsidR="00E65607" w:rsidRPr="00E42614" w:rsidRDefault="00E65607" w:rsidP="000A3DA0">
      <w:pPr>
        <w:spacing w:after="0" w:line="240" w:lineRule="auto"/>
      </w:pPr>
      <w:r w:rsidRPr="00E42614">
        <w:separator/>
      </w:r>
    </w:p>
  </w:endnote>
  <w:endnote w:type="continuationSeparator" w:id="0">
    <w:p w14:paraId="56A8E36A" w14:textId="77777777" w:rsidR="00E65607" w:rsidRPr="00E42614" w:rsidRDefault="00E65607" w:rsidP="000A3DA0">
      <w:pPr>
        <w:spacing w:after="0" w:line="240" w:lineRule="auto"/>
      </w:pPr>
      <w:r w:rsidRPr="00E426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subsetted="1" w:fontKey="{82729E35-BD2C-4316-9BA7-0D0F51369DAA}"/>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embedRegular r:id="rId2" w:fontKey="{CE63BF5D-8E1B-45AC-B2FF-B7B4F88B1442}"/>
    <w:embedBold r:id="rId3" w:fontKey="{D4FDA9AD-D97A-4621-857B-9E50D44873D4}"/>
    <w:embedItalic r:id="rId4" w:fontKey="{87D6C297-E7A0-4FAE-B62A-A1511C93E330}"/>
    <w:embedBoldItalic r:id="rId5" w:fontKey="{4CC94828-5A11-47F1-AB54-62FE4001C4DA}"/>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Courier">
    <w:panose1 w:val="02070409020205020404"/>
    <w:charset w:val="00"/>
    <w:family w:val="modern"/>
    <w:notTrueType/>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6" w:subsetted="1" w:fontKey="{57903C54-9CA0-4D56-A037-324657429F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8313" w14:textId="4E4618A7" w:rsidR="00F31AD9" w:rsidRPr="00E42614" w:rsidRDefault="00EE2CBE" w:rsidP="001B36EE">
    <w:pPr>
      <w:pStyle w:val="Footer"/>
      <w:pBdr>
        <w:top w:val="single" w:sz="4" w:space="6" w:color="D9D9D9" w:themeColor="background1" w:themeShade="D9"/>
      </w:pBdr>
      <w:jc w:val="right"/>
      <w:rPr>
        <w:rFonts w:ascii="Poppins" w:hAnsi="Poppins" w:cs="Poppins"/>
        <w:b/>
        <w:bCs/>
        <w:color w:val="0023C8"/>
        <w:sz w:val="18"/>
        <w:szCs w:val="18"/>
      </w:rPr>
    </w:pPr>
    <w:r w:rsidRPr="008E2AFB">
      <w:rPr>
        <w:rFonts w:ascii="Poppins" w:hAnsi="Poppins" w:cs="Poppins"/>
        <w:noProof/>
      </w:rPr>
      <mc:AlternateContent>
        <mc:Choice Requires="wps">
          <w:drawing>
            <wp:anchor distT="0" distB="0" distL="114300" distR="114300" simplePos="0" relativeHeight="251669504" behindDoc="1" locked="0" layoutInCell="1" allowOverlap="1" wp14:anchorId="2F555238" wp14:editId="1E4272A4">
              <wp:simplePos x="0" y="0"/>
              <wp:positionH relativeFrom="margin">
                <wp:align>center</wp:align>
              </wp:positionH>
              <wp:positionV relativeFrom="paragraph">
                <wp:posOffset>473075</wp:posOffset>
              </wp:positionV>
              <wp:extent cx="7980770" cy="76200"/>
              <wp:effectExtent l="0" t="0" r="1270" b="0"/>
              <wp:wrapNone/>
              <wp:docPr id="1177593790"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C40117" id="Rectangle 1" o:spid="_x0000_s1026" style="position:absolute;margin-left:0;margin-top:37.25pt;width:628.4pt;height:6pt;z-index:-251646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" fillcolor="#ff5000" stroked="f" strokeweight="2pt">
              <w10:wrap anchorx="margin"/>
            </v:rect>
          </w:pict>
        </mc:Fallback>
      </mc:AlternateContent>
    </w:r>
    <w:r w:rsidR="00F31AD9" w:rsidRPr="00E42614">
      <w:rPr>
        <w:rFonts w:ascii="Poppins" w:hAnsi="Poppins" w:cs="Poppins"/>
        <w:b/>
        <w:bCs/>
        <w:color w:val="0023C8"/>
        <w:sz w:val="18"/>
        <w:szCs w:val="18"/>
      </w:rPr>
      <w:fldChar w:fldCharType="begin"/>
    </w:r>
    <w:r w:rsidR="00F31AD9" w:rsidRPr="00E42614">
      <w:rPr>
        <w:rFonts w:ascii="Poppins" w:hAnsi="Poppins" w:cs="Poppins"/>
        <w:b/>
        <w:bCs/>
        <w:color w:val="0023C8"/>
        <w:sz w:val="18"/>
        <w:szCs w:val="18"/>
      </w:rPr>
      <w:instrText xml:space="preserve"> PAGE   \* MERGEFORMAT </w:instrText>
    </w:r>
    <w:r w:rsidR="00F31AD9" w:rsidRPr="00E42614">
      <w:rPr>
        <w:rFonts w:ascii="Poppins" w:hAnsi="Poppins" w:cs="Poppins"/>
        <w:b/>
        <w:bCs/>
        <w:color w:val="0023C8"/>
        <w:sz w:val="18"/>
        <w:szCs w:val="18"/>
      </w:rPr>
      <w:fldChar w:fldCharType="separate"/>
    </w:r>
    <w:r w:rsidR="00F31AD9" w:rsidRPr="00E42614">
      <w:rPr>
        <w:rFonts w:ascii="Poppins" w:hAnsi="Poppins" w:cs="Poppins"/>
        <w:b/>
        <w:bCs/>
        <w:color w:val="0023C8"/>
        <w:sz w:val="18"/>
        <w:szCs w:val="18"/>
      </w:rPr>
      <w:t>45</w:t>
    </w:r>
    <w:r w:rsidR="00F31AD9" w:rsidRPr="00E42614">
      <w:rPr>
        <w:rFonts w:ascii="Poppins" w:hAnsi="Poppins" w:cs="Poppins"/>
        <w:b/>
        <w:bCs/>
        <w:color w:val="0023C8"/>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6F3F6" w14:textId="00B045C1" w:rsidR="00F31AD9" w:rsidRPr="00E42614" w:rsidRDefault="00FB4683" w:rsidP="00905FE9">
    <w:pPr>
      <w:pStyle w:val="Footer"/>
      <w:jc w:val="center"/>
      <w:rPr>
        <w:rFonts w:ascii="Poppins" w:hAnsi="Poppins" w:cs="Poppins"/>
        <w:sz w:val="18"/>
        <w:szCs w:val="18"/>
      </w:rPr>
    </w:pPr>
    <w:r w:rsidRPr="008E2AFB">
      <w:rPr>
        <w:rFonts w:ascii="Poppins" w:hAnsi="Poppins" w:cs="Poppins"/>
        <w:noProof/>
      </w:rPr>
      <mc:AlternateContent>
        <mc:Choice Requires="wps">
          <w:drawing>
            <wp:anchor distT="0" distB="0" distL="114300" distR="114300" simplePos="0" relativeHeight="251671552" behindDoc="1" locked="0" layoutInCell="1" allowOverlap="1" wp14:anchorId="1C5FCB72" wp14:editId="497F82BA">
              <wp:simplePos x="0" y="0"/>
              <wp:positionH relativeFrom="margin">
                <wp:align>center</wp:align>
              </wp:positionH>
              <wp:positionV relativeFrom="paragraph">
                <wp:posOffset>390525</wp:posOffset>
              </wp:positionV>
              <wp:extent cx="7980770" cy="76200"/>
              <wp:effectExtent l="0" t="0" r="1270" b="0"/>
              <wp:wrapNone/>
              <wp:docPr id="560525783"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89036" id="Rectangle 1" o:spid="_x0000_s1026" style="position:absolute;margin-left:0;margin-top:30.75pt;width:628.4pt;height:6pt;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" fillcolor="#ff5000" stroked="f" strokeweight="2pt">
              <w10:wrap anchorx="margin"/>
            </v:rect>
          </w:pict>
        </mc:Fallback>
      </mc:AlternateContent>
    </w:r>
    <w:r w:rsidR="00F31AD9" w:rsidRPr="00E42614">
      <w:rPr>
        <w:rFonts w:ascii="Poppins" w:hAnsi="Poppins" w:cs="Poppins"/>
        <w:sz w:val="18"/>
        <w:szCs w:val="18"/>
      </w:rPr>
      <w:t>MAT-XU-26</w:t>
    </w:r>
    <w:r w:rsidR="00924E32">
      <w:rPr>
        <w:rFonts w:ascii="Poppins" w:hAnsi="Poppins" w:cs="Poppins"/>
        <w:sz w:val="18"/>
        <w:szCs w:val="18"/>
      </w:rPr>
      <w:t>03008</w:t>
    </w:r>
    <w:r w:rsidR="00F31AD9" w:rsidRPr="00E42614">
      <w:rPr>
        <w:rFonts w:ascii="Poppins" w:hAnsi="Poppins" w:cs="Poppins"/>
        <w:sz w:val="18"/>
        <w:szCs w:val="18"/>
      </w:rPr>
      <w:t xml:space="preserve"> (v1.0)   I   </w:t>
    </w:r>
    <w:r w:rsidR="00924E32">
      <w:rPr>
        <w:rFonts w:ascii="Poppins" w:hAnsi="Poppins" w:cs="Poppins"/>
        <w:sz w:val="18"/>
        <w:szCs w:val="18"/>
      </w:rPr>
      <w:t>September</w:t>
    </w:r>
    <w:r w:rsidR="00F31AD9" w:rsidRPr="00E42614">
      <w:rPr>
        <w:rFonts w:ascii="Poppins" w:hAnsi="Poppins" w:cs="Poppins"/>
        <w:sz w:val="18"/>
        <w:szCs w:val="18"/>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6A8D" w14:textId="1289F80A" w:rsidR="00BB7FF1" w:rsidRPr="00E42614" w:rsidRDefault="00F6333D" w:rsidP="001B36EE">
    <w:pPr>
      <w:pStyle w:val="Footer"/>
      <w:pBdr>
        <w:top w:val="single" w:sz="4" w:space="6" w:color="D9D9D9" w:themeColor="background1" w:themeShade="D9"/>
      </w:pBdr>
      <w:jc w:val="right"/>
      <w:rPr>
        <w:rFonts w:ascii="Poppins" w:hAnsi="Poppins" w:cs="Poppins"/>
        <w:b/>
        <w:bCs/>
        <w:color w:val="0023C8"/>
        <w:sz w:val="18"/>
        <w:szCs w:val="18"/>
      </w:rPr>
    </w:pPr>
    <w:r w:rsidRPr="008E2AFB">
      <w:rPr>
        <w:rFonts w:ascii="Poppins" w:hAnsi="Poppins" w:cs="Poppins"/>
        <w:noProof/>
      </w:rPr>
      <mc:AlternateContent>
        <mc:Choice Requires="wps">
          <w:drawing>
            <wp:anchor distT="0" distB="0" distL="114300" distR="114300" simplePos="0" relativeHeight="251661312" behindDoc="1" locked="0" layoutInCell="1" allowOverlap="1" wp14:anchorId="53A26DF4" wp14:editId="641F63C0">
              <wp:simplePos x="0" y="0"/>
              <wp:positionH relativeFrom="margin">
                <wp:posOffset>-1256030</wp:posOffset>
              </wp:positionH>
              <wp:positionV relativeFrom="paragraph">
                <wp:posOffset>473075</wp:posOffset>
              </wp:positionV>
              <wp:extent cx="7980770" cy="76200"/>
              <wp:effectExtent l="0" t="0" r="1270" b="0"/>
              <wp:wrapNone/>
              <wp:docPr id="33865714"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A1980" id="Rectangle 1" o:spid="_x0000_s1026" style="position:absolute;margin-left:-98.9pt;margin-top:37.25pt;width:628.4pt;height:6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" fillcolor="#ff5000" stroked="f" strokeweight="2pt">
              <w10:wrap anchorx="margin"/>
            </v:rect>
          </w:pict>
        </mc:Fallback>
      </mc:AlternateContent>
    </w:r>
    <w:r w:rsidRPr="008E2AFB">
      <w:rPr>
        <w:rFonts w:ascii="Poppins" w:hAnsi="Poppins" w:cs="Poppins"/>
        <w:noProof/>
      </w:rPr>
      <mc:AlternateContent>
        <mc:Choice Requires="wps">
          <w:drawing>
            <wp:anchor distT="0" distB="0" distL="114300" distR="114300" simplePos="0" relativeHeight="251665408" behindDoc="1" locked="0" layoutInCell="1" allowOverlap="1" wp14:anchorId="26B9F993" wp14:editId="6AC500C9">
              <wp:simplePos x="0" y="0"/>
              <wp:positionH relativeFrom="margin">
                <wp:align>center</wp:align>
              </wp:positionH>
              <wp:positionV relativeFrom="paragraph">
                <wp:posOffset>624840</wp:posOffset>
              </wp:positionV>
              <wp:extent cx="7980770" cy="76200"/>
              <wp:effectExtent l="0" t="0" r="1270" b="0"/>
              <wp:wrapNone/>
              <wp:docPr id="1701388221"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F3799" id="Rectangle 1" o:spid="_x0000_s1026" style="position:absolute;margin-left:0;margin-top:49.2pt;width:628.4pt;height:6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" fillcolor="#ff5000" stroked="f" strokeweight="2pt">
              <w10:wrap anchorx="margin"/>
            </v:rect>
          </w:pict>
        </mc:Fallback>
      </mc:AlternateContent>
    </w:r>
    <w:r w:rsidR="001B36EE" w:rsidRPr="00E42614">
      <w:rPr>
        <w:rFonts w:ascii="Poppins" w:hAnsi="Poppins" w:cs="Poppins"/>
        <w:b/>
        <w:bCs/>
        <w:color w:val="0023C8"/>
        <w:sz w:val="18"/>
        <w:szCs w:val="18"/>
      </w:rPr>
      <w:fldChar w:fldCharType="begin"/>
    </w:r>
    <w:r w:rsidR="001B36EE" w:rsidRPr="00E42614">
      <w:rPr>
        <w:rFonts w:ascii="Poppins" w:hAnsi="Poppins" w:cs="Poppins"/>
        <w:b/>
        <w:bCs/>
        <w:color w:val="0023C8"/>
        <w:sz w:val="18"/>
        <w:szCs w:val="18"/>
      </w:rPr>
      <w:instrText xml:space="preserve"> PAGE   \* MERGEFORMAT </w:instrText>
    </w:r>
    <w:r w:rsidR="001B36EE" w:rsidRPr="00E42614">
      <w:rPr>
        <w:rFonts w:ascii="Poppins" w:hAnsi="Poppins" w:cs="Poppins"/>
        <w:b/>
        <w:bCs/>
        <w:color w:val="0023C8"/>
        <w:sz w:val="18"/>
        <w:szCs w:val="18"/>
      </w:rPr>
      <w:fldChar w:fldCharType="separate"/>
    </w:r>
    <w:r w:rsidR="001B36EE" w:rsidRPr="00E42614">
      <w:rPr>
        <w:rFonts w:ascii="Poppins" w:hAnsi="Poppins" w:cs="Poppins"/>
        <w:b/>
        <w:bCs/>
        <w:color w:val="0023C8"/>
        <w:sz w:val="18"/>
        <w:szCs w:val="18"/>
      </w:rPr>
      <w:t>45</w:t>
    </w:r>
    <w:r w:rsidR="001B36EE" w:rsidRPr="00E42614">
      <w:rPr>
        <w:rFonts w:ascii="Poppins" w:hAnsi="Poppins" w:cs="Poppins"/>
        <w:b/>
        <w:bCs/>
        <w:color w:val="0023C8"/>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E9C9" w14:textId="3CA620E1" w:rsidR="00EA608D" w:rsidRPr="00E42614" w:rsidRDefault="00F01252" w:rsidP="00905FE9">
    <w:pPr>
      <w:pStyle w:val="Footer"/>
      <w:jc w:val="center"/>
      <w:rPr>
        <w:rFonts w:ascii="Poppins" w:hAnsi="Poppins" w:cs="Poppins"/>
        <w:sz w:val="18"/>
        <w:szCs w:val="18"/>
      </w:rPr>
    </w:pPr>
    <w:r w:rsidRPr="008E2AFB">
      <w:rPr>
        <w:rFonts w:ascii="Poppins" w:hAnsi="Poppins" w:cs="Poppins"/>
        <w:noProof/>
      </w:rPr>
      <mc:AlternateContent>
        <mc:Choice Requires="wps">
          <w:drawing>
            <wp:anchor distT="0" distB="0" distL="114300" distR="114300" simplePos="0" relativeHeight="251663360" behindDoc="1" locked="0" layoutInCell="1" allowOverlap="1" wp14:anchorId="41A57AF9" wp14:editId="2C6F91D2">
              <wp:simplePos x="0" y="0"/>
              <wp:positionH relativeFrom="margin">
                <wp:posOffset>-1221105</wp:posOffset>
              </wp:positionH>
              <wp:positionV relativeFrom="paragraph">
                <wp:posOffset>379961</wp:posOffset>
              </wp:positionV>
              <wp:extent cx="8050424" cy="76200"/>
              <wp:effectExtent l="0" t="0" r="8255" b="0"/>
              <wp:wrapNone/>
              <wp:docPr id="861775384" name="Rectangle 1"/>
              <wp:cNvGraphicFramePr/>
              <a:graphic xmlns:a="http://schemas.openxmlformats.org/drawingml/2006/main">
                <a:graphicData uri="http://schemas.microsoft.com/office/word/2010/wordprocessingShape">
                  <wps:wsp>
                    <wps:cNvSpPr/>
                    <wps:spPr>
                      <a:xfrm>
                        <a:off x="0" y="0"/>
                        <a:ext cx="8050424"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AFE60" id="Rectangle 1" o:spid="_x0000_s1026" style="position:absolute;margin-left:-96.15pt;margin-top:29.9pt;width:633.9pt;height:6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" fillcolor="#ff5000" stroked="f" strokeweight="2pt">
              <w10:wrap anchorx="margin"/>
            </v:rect>
          </w:pict>
        </mc:Fallback>
      </mc:AlternateContent>
    </w:r>
    <w:r w:rsidR="00EA608D" w:rsidRPr="00E42614">
      <w:rPr>
        <w:rFonts w:ascii="Poppins" w:hAnsi="Poppins" w:cs="Poppins"/>
        <w:sz w:val="18"/>
        <w:szCs w:val="18"/>
      </w:rPr>
      <w:t>MAT-XU-26</w:t>
    </w:r>
    <w:r w:rsidR="00867435">
      <w:rPr>
        <w:rFonts w:ascii="Poppins" w:hAnsi="Poppins" w:cs="Poppins"/>
        <w:sz w:val="18"/>
        <w:szCs w:val="18"/>
      </w:rPr>
      <w:t>03008</w:t>
    </w:r>
    <w:r w:rsidR="00EA608D" w:rsidRPr="00E42614">
      <w:rPr>
        <w:rFonts w:ascii="Poppins" w:hAnsi="Poppins" w:cs="Poppins"/>
        <w:sz w:val="18"/>
        <w:szCs w:val="18"/>
      </w:rPr>
      <w:t xml:space="preserve"> (v1.0)</w:t>
    </w:r>
    <w:r w:rsidR="007643E4" w:rsidRPr="00E42614">
      <w:rPr>
        <w:rFonts w:ascii="Poppins" w:hAnsi="Poppins" w:cs="Poppins"/>
        <w:sz w:val="18"/>
        <w:szCs w:val="18"/>
      </w:rPr>
      <w:t xml:space="preserve">  </w:t>
    </w:r>
    <w:r w:rsidR="00905FE9" w:rsidRPr="00E42614">
      <w:rPr>
        <w:rFonts w:ascii="Poppins" w:hAnsi="Poppins" w:cs="Poppins"/>
        <w:sz w:val="18"/>
        <w:szCs w:val="18"/>
      </w:rPr>
      <w:t xml:space="preserve"> I </w:t>
    </w:r>
    <w:r w:rsidR="007643E4" w:rsidRPr="00E42614">
      <w:rPr>
        <w:rFonts w:ascii="Poppins" w:hAnsi="Poppins" w:cs="Poppins"/>
        <w:sz w:val="18"/>
        <w:szCs w:val="18"/>
      </w:rPr>
      <w:t xml:space="preserve">  </w:t>
    </w:r>
    <w:r w:rsidR="00B278D7" w:rsidRPr="00E42614">
      <w:rPr>
        <w:rFonts w:ascii="Poppins" w:hAnsi="Poppins" w:cs="Poppins"/>
        <w:sz w:val="18"/>
        <w:szCs w:val="18"/>
      </w:rPr>
      <w:t>August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C4BE" w14:textId="3EC33C4D" w:rsidR="00D51AF0" w:rsidRPr="00E42614" w:rsidRDefault="00B80CDA" w:rsidP="001B36EE">
    <w:pPr>
      <w:pStyle w:val="Footer"/>
      <w:pBdr>
        <w:top w:val="single" w:sz="4" w:space="6" w:color="D9D9D9" w:themeColor="background1" w:themeShade="D9"/>
      </w:pBdr>
      <w:jc w:val="right"/>
      <w:rPr>
        <w:rFonts w:ascii="Poppins" w:hAnsi="Poppins" w:cs="Poppins"/>
        <w:b/>
        <w:bCs/>
        <w:color w:val="0023C8"/>
        <w:sz w:val="18"/>
        <w:szCs w:val="18"/>
      </w:rPr>
    </w:pPr>
    <w:r w:rsidRPr="00E42614">
      <w:rPr>
        <w:rFonts w:ascii="Poppins" w:hAnsi="Poppins" w:cs="Poppins"/>
        <w:b/>
        <w:bCs/>
        <w:color w:val="0023C8"/>
        <w:sz w:val="18"/>
        <w:szCs w:val="18"/>
      </w:rPr>
      <w:t>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B3C4" w14:textId="4423D530" w:rsidR="00B80CDA" w:rsidRPr="00E42614" w:rsidRDefault="00F6333D" w:rsidP="001B36EE">
    <w:pPr>
      <w:pStyle w:val="Footer"/>
      <w:pBdr>
        <w:top w:val="single" w:sz="4" w:space="6" w:color="D9D9D9" w:themeColor="background1" w:themeShade="D9"/>
      </w:pBdr>
      <w:jc w:val="right"/>
      <w:rPr>
        <w:rFonts w:ascii="Poppins" w:hAnsi="Poppins" w:cs="Poppins"/>
        <w:b/>
        <w:bCs/>
        <w:color w:val="0023C8"/>
        <w:sz w:val="18"/>
        <w:szCs w:val="18"/>
      </w:rPr>
    </w:pPr>
    <w:r w:rsidRPr="008E2AFB">
      <w:rPr>
        <w:rFonts w:ascii="Poppins" w:hAnsi="Poppins" w:cs="Poppins"/>
        <w:noProof/>
      </w:rPr>
      <mc:AlternateContent>
        <mc:Choice Requires="wps">
          <w:drawing>
            <wp:anchor distT="0" distB="0" distL="114300" distR="114300" simplePos="0" relativeHeight="251667456" behindDoc="1" locked="0" layoutInCell="1" allowOverlap="1" wp14:anchorId="2A7B8FAB" wp14:editId="4FD0E04E">
              <wp:simplePos x="0" y="0"/>
              <wp:positionH relativeFrom="margin">
                <wp:align>center</wp:align>
              </wp:positionH>
              <wp:positionV relativeFrom="paragraph">
                <wp:posOffset>641985</wp:posOffset>
              </wp:positionV>
              <wp:extent cx="7980770" cy="76200"/>
              <wp:effectExtent l="0" t="0" r="1270" b="0"/>
              <wp:wrapNone/>
              <wp:docPr id="1539337109"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7AA19" id="Rectangle 1" o:spid="_x0000_s1026" style="position:absolute;margin-left:0;margin-top:50.55pt;width:628.4pt;height:6pt;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" fillcolor="#ff5000" stroked="f" strokeweight="2pt">
              <w10:wrap anchorx="margin"/>
            </v:rect>
          </w:pict>
        </mc:Fallback>
      </mc:AlternateContent>
    </w:r>
    <w:r w:rsidR="00B80CDA" w:rsidRPr="00E42614">
      <w:rPr>
        <w:rFonts w:ascii="Poppins" w:hAnsi="Poppins" w:cs="Poppins"/>
        <w:b/>
        <w:bCs/>
        <w:color w:val="0023C8"/>
        <w:sz w:val="18"/>
        <w:szCs w:val="18"/>
      </w:rPr>
      <w:t>2</w:t>
    </w:r>
    <w:r w:rsidR="004B3FF6">
      <w:rPr>
        <w:rFonts w:ascii="Poppins" w:hAnsi="Poppins" w:cs="Poppins"/>
        <w:b/>
        <w:bCs/>
        <w:color w:val="0023C8"/>
        <w:sz w:val="18"/>
        <w:szCs w:val="18"/>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F271C" w14:textId="77777777" w:rsidR="00E65607" w:rsidRPr="00E42614" w:rsidRDefault="00E65607" w:rsidP="000A3DA0">
      <w:pPr>
        <w:spacing w:after="0" w:line="240" w:lineRule="auto"/>
      </w:pPr>
      <w:r w:rsidRPr="00E42614">
        <w:separator/>
      </w:r>
    </w:p>
  </w:footnote>
  <w:footnote w:type="continuationSeparator" w:id="0">
    <w:p w14:paraId="4A3196BA" w14:textId="77777777" w:rsidR="00E65607" w:rsidRPr="00E42614" w:rsidRDefault="00E65607" w:rsidP="000A3DA0">
      <w:pPr>
        <w:spacing w:after="0" w:line="240" w:lineRule="auto"/>
      </w:pPr>
      <w:r w:rsidRPr="00E426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89332" w14:textId="30CE466D" w:rsidR="00FB4683" w:rsidRDefault="00FB4683">
    <w:pPr>
      <w:pStyle w:val="Header"/>
    </w:pPr>
    <w:r w:rsidRPr="00E42614">
      <w:rPr>
        <w:rFonts w:ascii="Poppins" w:hAnsi="Poppins" w:cs="Poppins"/>
        <w:noProof/>
        <w14:ligatures w14:val="standardContextual"/>
      </w:rPr>
      <mc:AlternateContent>
        <mc:Choice Requires="wps">
          <w:drawing>
            <wp:anchor distT="0" distB="0" distL="114300" distR="114300" simplePos="0" relativeHeight="251673600" behindDoc="1" locked="0" layoutInCell="1" allowOverlap="1" wp14:anchorId="75D6625F" wp14:editId="1C6BFBB7">
              <wp:simplePos x="0" y="0"/>
              <wp:positionH relativeFrom="margin">
                <wp:posOffset>-1209675</wp:posOffset>
              </wp:positionH>
              <wp:positionV relativeFrom="paragraph">
                <wp:posOffset>-733425</wp:posOffset>
              </wp:positionV>
              <wp:extent cx="7904425" cy="501650"/>
              <wp:effectExtent l="0" t="0" r="1905" b="0"/>
              <wp:wrapNone/>
              <wp:docPr id="440280718" name="Rectangle 1"/>
              <wp:cNvGraphicFramePr/>
              <a:graphic xmlns:a="http://schemas.openxmlformats.org/drawingml/2006/main">
                <a:graphicData uri="http://schemas.microsoft.com/office/word/2010/wordprocessingShape">
                  <wps:wsp>
                    <wps:cNvSpPr/>
                    <wps:spPr>
                      <a:xfrm>
                        <a:off x="0" y="0"/>
                        <a:ext cx="7904425" cy="501650"/>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1C0200" w14:textId="77777777" w:rsidR="00FB4683" w:rsidRPr="00E42614" w:rsidRDefault="00FB4683" w:rsidP="00FB4683">
                          <w:pP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D6625F" id="_x0000_s1033" style="position:absolute;margin-left:-95.25pt;margin-top:-57.75pt;width:622.4pt;height:39.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" fillcolor="#0023c8" stroked="f" strokeweight="2pt">
              <v:textbox inset="0,2mm,0,0">
                <w:txbxContent>
                  <w:p w14:paraId="7F1C0200" w14:textId="77777777" w:rsidR="00FB4683" w:rsidRPr="00E42614" w:rsidRDefault="00FB4683" w:rsidP="00FB4683">
                    <w:pPr>
                      <w:rPr>
                        <w:rFonts w:ascii="Poppins" w:hAnsi="Poppins" w:cs="Poppins"/>
                      </w:rPr>
                    </w:pPr>
                  </w:p>
                </w:txbxContent>
              </v:textbox>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3ABA" w14:textId="74707E30" w:rsidR="00F01252" w:rsidRDefault="00FB3452">
    <w:pPr>
      <w:pStyle w:val="Header"/>
    </w:pPr>
    <w:r w:rsidRPr="00E42614">
      <w:rPr>
        <w:rFonts w:ascii="Poppins" w:hAnsi="Poppins" w:cs="Poppins"/>
        <w:noProof/>
        <w14:ligatures w14:val="standardContextual"/>
      </w:rPr>
      <mc:AlternateContent>
        <mc:Choice Requires="wps">
          <w:drawing>
            <wp:anchor distT="0" distB="0" distL="114300" distR="114300" simplePos="0" relativeHeight="251675648" behindDoc="1" locked="0" layoutInCell="1" allowOverlap="1" wp14:anchorId="56912AB1" wp14:editId="69A2E133">
              <wp:simplePos x="0" y="0"/>
              <wp:positionH relativeFrom="margin">
                <wp:align>center</wp:align>
              </wp:positionH>
              <wp:positionV relativeFrom="paragraph">
                <wp:posOffset>-733425</wp:posOffset>
              </wp:positionV>
              <wp:extent cx="7904425" cy="501650"/>
              <wp:effectExtent l="0" t="0" r="1905" b="0"/>
              <wp:wrapNone/>
              <wp:docPr id="321409983" name="Rectangle 1"/>
              <wp:cNvGraphicFramePr/>
              <a:graphic xmlns:a="http://schemas.openxmlformats.org/drawingml/2006/main">
                <a:graphicData uri="http://schemas.microsoft.com/office/word/2010/wordprocessingShape">
                  <wps:wsp>
                    <wps:cNvSpPr/>
                    <wps:spPr>
                      <a:xfrm>
                        <a:off x="0" y="0"/>
                        <a:ext cx="7904425" cy="501650"/>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A3C828" w14:textId="77777777" w:rsidR="00FB3452" w:rsidRPr="00E42614" w:rsidRDefault="00FB3452" w:rsidP="00FB4683">
                          <w:pP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12AB1" id="_x0000_s1034" style="position:absolute;margin-left:0;margin-top:-57.75pt;width:622.4pt;height:39.5pt;z-index:-2516408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" fillcolor="#0023c8" stroked="f" strokeweight="2pt">
              <v:textbox inset="0,2mm,0,0">
                <w:txbxContent>
                  <w:p w14:paraId="46A3C828" w14:textId="77777777" w:rsidR="00FB3452" w:rsidRPr="00E42614" w:rsidRDefault="00FB3452" w:rsidP="00FB4683">
                    <w:pPr>
                      <w:rPr>
                        <w:rFonts w:ascii="Poppins" w:hAnsi="Poppins" w:cs="Poppins"/>
                      </w:rPr>
                    </w:pP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382CBA"/>
    <w:multiLevelType w:val="hybridMultilevel"/>
    <w:tmpl w:val="536823A2"/>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57801C5"/>
    <w:multiLevelType w:val="multilevel"/>
    <w:tmpl w:val="DEF62F0C"/>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364CC1"/>
    <w:multiLevelType w:val="hybridMultilevel"/>
    <w:tmpl w:val="B37654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875850"/>
    <w:multiLevelType w:val="hybridMultilevel"/>
    <w:tmpl w:val="777E8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94470B"/>
    <w:multiLevelType w:val="multilevel"/>
    <w:tmpl w:val="0088DE52"/>
    <w:lvl w:ilvl="0">
      <w:start w:val="1"/>
      <w:numFmt w:val="bullet"/>
      <w:lvlText w:val=""/>
      <w:lvlJc w:val="left"/>
      <w:pPr>
        <w:tabs>
          <w:tab w:val="num" w:pos="6"/>
        </w:tabs>
        <w:ind w:left="6" w:hanging="360"/>
      </w:pPr>
      <w:rPr>
        <w:rFonts w:ascii="Symbol" w:hAnsi="Symbol" w:hint="default"/>
        <w:color w:val="0023C8"/>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1" w15:restartNumberingAfterBreak="0">
    <w:nsid w:val="144A1B15"/>
    <w:multiLevelType w:val="hybridMultilevel"/>
    <w:tmpl w:val="70AE24E4"/>
    <w:lvl w:ilvl="0" w:tplc="036C975C">
      <w:start w:val="1"/>
      <w:numFmt w:val="bullet"/>
      <w:lvlText w:val=""/>
      <w:lvlJc w:val="left"/>
      <w:pPr>
        <w:ind w:left="360" w:hanging="360"/>
      </w:pPr>
      <w:rPr>
        <w:rFonts w:ascii="Symbol" w:hAnsi="Symbol" w:hint="default"/>
        <w:color w:val="0023C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522D97"/>
    <w:multiLevelType w:val="multilevel"/>
    <w:tmpl w:val="0088DE52"/>
    <w:lvl w:ilvl="0">
      <w:start w:val="1"/>
      <w:numFmt w:val="bullet"/>
      <w:lvlText w:val=""/>
      <w:lvlJc w:val="left"/>
      <w:pPr>
        <w:tabs>
          <w:tab w:val="num" w:pos="6"/>
        </w:tabs>
        <w:ind w:left="6" w:hanging="360"/>
      </w:pPr>
      <w:rPr>
        <w:rFonts w:ascii="Symbol" w:hAnsi="Symbol" w:hint="default"/>
        <w:color w:val="0023C8"/>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3" w15:restartNumberingAfterBreak="0">
    <w:nsid w:val="2BB15EE0"/>
    <w:multiLevelType w:val="hybridMultilevel"/>
    <w:tmpl w:val="560A4656"/>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FE40C93"/>
    <w:multiLevelType w:val="multilevel"/>
    <w:tmpl w:val="1E9485F6"/>
    <w:lvl w:ilvl="0">
      <w:start w:val="1"/>
      <w:numFmt w:val="bullet"/>
      <w:lvlText w:val=""/>
      <w:lvlJc w:val="left"/>
      <w:pPr>
        <w:tabs>
          <w:tab w:val="num" w:pos="6"/>
        </w:tabs>
        <w:ind w:left="6" w:hanging="360"/>
      </w:pPr>
      <w:rPr>
        <w:rFonts w:ascii="Symbol" w:hAnsi="Symbol" w:hint="default"/>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5" w15:restartNumberingAfterBreak="0">
    <w:nsid w:val="32B50A49"/>
    <w:multiLevelType w:val="hybridMultilevel"/>
    <w:tmpl w:val="1150ACFA"/>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3057243"/>
    <w:multiLevelType w:val="multilevel"/>
    <w:tmpl w:val="0088DE52"/>
    <w:lvl w:ilvl="0">
      <w:start w:val="1"/>
      <w:numFmt w:val="bullet"/>
      <w:lvlText w:val=""/>
      <w:lvlJc w:val="left"/>
      <w:pPr>
        <w:tabs>
          <w:tab w:val="num" w:pos="360"/>
        </w:tabs>
        <w:ind w:left="360" w:hanging="360"/>
      </w:pPr>
      <w:rPr>
        <w:rFonts w:ascii="Symbol" w:hAnsi="Symbol" w:hint="default"/>
        <w:color w:val="0023C8"/>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4C23F6E"/>
    <w:multiLevelType w:val="multilevel"/>
    <w:tmpl w:val="CA000774"/>
    <w:lvl w:ilvl="0">
      <w:start w:val="1"/>
      <w:numFmt w:val="bullet"/>
      <w:lvlText w:val=""/>
      <w:lvlJc w:val="left"/>
      <w:pPr>
        <w:tabs>
          <w:tab w:val="num" w:pos="363"/>
        </w:tabs>
        <w:ind w:left="363" w:hanging="360"/>
      </w:pPr>
      <w:rPr>
        <w:rFonts w:ascii="Symbol" w:hAnsi="Symbol" w:hint="default"/>
        <w:color w:val="0023C8"/>
        <w:sz w:val="20"/>
      </w:rPr>
    </w:lvl>
    <w:lvl w:ilvl="1">
      <w:start w:val="1"/>
      <w:numFmt w:val="bullet"/>
      <w:lvlText w:val="o"/>
      <w:lvlJc w:val="left"/>
      <w:pPr>
        <w:tabs>
          <w:tab w:val="num" w:pos="1083"/>
        </w:tabs>
        <w:ind w:left="1083" w:hanging="360"/>
      </w:pPr>
      <w:rPr>
        <w:rFonts w:ascii="Courier New" w:hAnsi="Courier New" w:hint="default"/>
        <w:color w:val="0023C8"/>
        <w:sz w:val="20"/>
      </w:rPr>
    </w:lvl>
    <w:lvl w:ilvl="2" w:tentative="1">
      <w:start w:val="1"/>
      <w:numFmt w:val="bullet"/>
      <w:lvlText w:val=""/>
      <w:lvlJc w:val="left"/>
      <w:pPr>
        <w:tabs>
          <w:tab w:val="num" w:pos="1803"/>
        </w:tabs>
        <w:ind w:left="1803" w:hanging="360"/>
      </w:pPr>
      <w:rPr>
        <w:rFonts w:ascii="Wingdings" w:hAnsi="Wingdings" w:hint="default"/>
        <w:sz w:val="20"/>
      </w:rPr>
    </w:lvl>
    <w:lvl w:ilvl="3" w:tentative="1">
      <w:start w:val="1"/>
      <w:numFmt w:val="bullet"/>
      <w:lvlText w:val=""/>
      <w:lvlJc w:val="left"/>
      <w:pPr>
        <w:tabs>
          <w:tab w:val="num" w:pos="2523"/>
        </w:tabs>
        <w:ind w:left="2523" w:hanging="360"/>
      </w:pPr>
      <w:rPr>
        <w:rFonts w:ascii="Wingdings" w:hAnsi="Wingdings" w:hint="default"/>
        <w:sz w:val="20"/>
      </w:rPr>
    </w:lvl>
    <w:lvl w:ilvl="4" w:tentative="1">
      <w:start w:val="1"/>
      <w:numFmt w:val="bullet"/>
      <w:lvlText w:val=""/>
      <w:lvlJc w:val="left"/>
      <w:pPr>
        <w:tabs>
          <w:tab w:val="num" w:pos="3243"/>
        </w:tabs>
        <w:ind w:left="3243" w:hanging="360"/>
      </w:pPr>
      <w:rPr>
        <w:rFonts w:ascii="Wingdings" w:hAnsi="Wingdings" w:hint="default"/>
        <w:sz w:val="20"/>
      </w:rPr>
    </w:lvl>
    <w:lvl w:ilvl="5" w:tentative="1">
      <w:start w:val="1"/>
      <w:numFmt w:val="bullet"/>
      <w:lvlText w:val=""/>
      <w:lvlJc w:val="left"/>
      <w:pPr>
        <w:tabs>
          <w:tab w:val="num" w:pos="3963"/>
        </w:tabs>
        <w:ind w:left="3963" w:hanging="360"/>
      </w:pPr>
      <w:rPr>
        <w:rFonts w:ascii="Wingdings" w:hAnsi="Wingdings" w:hint="default"/>
        <w:sz w:val="20"/>
      </w:rPr>
    </w:lvl>
    <w:lvl w:ilvl="6" w:tentative="1">
      <w:start w:val="1"/>
      <w:numFmt w:val="bullet"/>
      <w:lvlText w:val=""/>
      <w:lvlJc w:val="left"/>
      <w:pPr>
        <w:tabs>
          <w:tab w:val="num" w:pos="4683"/>
        </w:tabs>
        <w:ind w:left="4683" w:hanging="360"/>
      </w:pPr>
      <w:rPr>
        <w:rFonts w:ascii="Wingdings" w:hAnsi="Wingdings" w:hint="default"/>
        <w:sz w:val="20"/>
      </w:rPr>
    </w:lvl>
    <w:lvl w:ilvl="7" w:tentative="1">
      <w:start w:val="1"/>
      <w:numFmt w:val="bullet"/>
      <w:lvlText w:val=""/>
      <w:lvlJc w:val="left"/>
      <w:pPr>
        <w:tabs>
          <w:tab w:val="num" w:pos="5403"/>
        </w:tabs>
        <w:ind w:left="5403" w:hanging="360"/>
      </w:pPr>
      <w:rPr>
        <w:rFonts w:ascii="Wingdings" w:hAnsi="Wingdings" w:hint="default"/>
        <w:sz w:val="20"/>
      </w:rPr>
    </w:lvl>
    <w:lvl w:ilvl="8" w:tentative="1">
      <w:start w:val="1"/>
      <w:numFmt w:val="bullet"/>
      <w:lvlText w:val=""/>
      <w:lvlJc w:val="left"/>
      <w:pPr>
        <w:tabs>
          <w:tab w:val="num" w:pos="6123"/>
        </w:tabs>
        <w:ind w:left="6123" w:hanging="360"/>
      </w:pPr>
      <w:rPr>
        <w:rFonts w:ascii="Wingdings" w:hAnsi="Wingdings" w:hint="default"/>
        <w:sz w:val="20"/>
      </w:rPr>
    </w:lvl>
  </w:abstractNum>
  <w:abstractNum w:abstractNumId="18" w15:restartNumberingAfterBreak="0">
    <w:nsid w:val="356C22FC"/>
    <w:multiLevelType w:val="hybridMultilevel"/>
    <w:tmpl w:val="C254BD74"/>
    <w:lvl w:ilvl="0" w:tplc="036C975C">
      <w:start w:val="1"/>
      <w:numFmt w:val="bullet"/>
      <w:lvlText w:val=""/>
      <w:lvlJc w:val="left"/>
      <w:pPr>
        <w:ind w:left="360" w:hanging="360"/>
      </w:pPr>
      <w:rPr>
        <w:rFonts w:ascii="Symbol" w:hAnsi="Symbol" w:hint="default"/>
        <w:color w:val="0023C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8214EE"/>
    <w:multiLevelType w:val="multilevel"/>
    <w:tmpl w:val="B1CA1F5E"/>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7444F8"/>
    <w:multiLevelType w:val="multilevel"/>
    <w:tmpl w:val="2662ECA0"/>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37C86"/>
    <w:multiLevelType w:val="multilevel"/>
    <w:tmpl w:val="64464EAA"/>
    <w:lvl w:ilvl="0">
      <w:start w:val="1"/>
      <w:numFmt w:val="decimal"/>
      <w:lvlText w:val="%1."/>
      <w:lvlJc w:val="left"/>
      <w:pPr>
        <w:tabs>
          <w:tab w:val="num" w:pos="360"/>
        </w:tabs>
        <w:ind w:left="360" w:hanging="360"/>
      </w:pPr>
      <w:rPr>
        <w:rFonts w:hint="default"/>
        <w:color w:val="0023C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661280B"/>
    <w:multiLevelType w:val="multilevel"/>
    <w:tmpl w:val="FFB8C380"/>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2A3F4B"/>
    <w:multiLevelType w:val="hybridMultilevel"/>
    <w:tmpl w:val="B0D0AF9C"/>
    <w:lvl w:ilvl="0" w:tplc="036C975C">
      <w:start w:val="1"/>
      <w:numFmt w:val="bullet"/>
      <w:lvlText w:val=""/>
      <w:lvlJc w:val="left"/>
      <w:pPr>
        <w:ind w:left="360" w:hanging="360"/>
      </w:pPr>
      <w:rPr>
        <w:rFonts w:ascii="Symbol" w:hAnsi="Symbol" w:hint="default"/>
        <w:color w:val="0023C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7D3896"/>
    <w:multiLevelType w:val="multilevel"/>
    <w:tmpl w:val="C8FAA5D4"/>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BD016D"/>
    <w:multiLevelType w:val="multilevel"/>
    <w:tmpl w:val="3E70BA4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9B02EC"/>
    <w:multiLevelType w:val="multilevel"/>
    <w:tmpl w:val="B5144806"/>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A60C03"/>
    <w:multiLevelType w:val="multilevel"/>
    <w:tmpl w:val="6B421E2C"/>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E84B0D"/>
    <w:multiLevelType w:val="multilevel"/>
    <w:tmpl w:val="5F0CB00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D64160"/>
    <w:multiLevelType w:val="multilevel"/>
    <w:tmpl w:val="79AAD214"/>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2A786E"/>
    <w:multiLevelType w:val="multilevel"/>
    <w:tmpl w:val="F198D608"/>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1E2D72"/>
    <w:multiLevelType w:val="multilevel"/>
    <w:tmpl w:val="577ED77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E1600"/>
    <w:multiLevelType w:val="multilevel"/>
    <w:tmpl w:val="411C1C5A"/>
    <w:lvl w:ilvl="0">
      <w:start w:val="1"/>
      <w:numFmt w:val="bullet"/>
      <w:lvlText w:val=""/>
      <w:lvlJc w:val="left"/>
      <w:pPr>
        <w:tabs>
          <w:tab w:val="num" w:pos="720"/>
        </w:tabs>
        <w:ind w:left="720" w:hanging="360"/>
      </w:pPr>
      <w:rPr>
        <w:rFonts w:ascii="Symbol" w:hAnsi="Symbol" w:hint="default"/>
        <w:color w:val="0023C8"/>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E367E3"/>
    <w:multiLevelType w:val="hybridMultilevel"/>
    <w:tmpl w:val="73A06676"/>
    <w:lvl w:ilvl="0" w:tplc="036C975C">
      <w:start w:val="1"/>
      <w:numFmt w:val="bullet"/>
      <w:lvlText w:val=""/>
      <w:lvlJc w:val="left"/>
      <w:pPr>
        <w:ind w:left="360" w:hanging="360"/>
      </w:pPr>
      <w:rPr>
        <w:rFonts w:ascii="Symbol" w:hAnsi="Symbol" w:hint="default"/>
        <w:color w:val="0023C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77C1284"/>
    <w:multiLevelType w:val="multilevel"/>
    <w:tmpl w:val="D5D84E36"/>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F530F3"/>
    <w:multiLevelType w:val="hybridMultilevel"/>
    <w:tmpl w:val="357AD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C621587"/>
    <w:multiLevelType w:val="hybridMultilevel"/>
    <w:tmpl w:val="3D6CBA42"/>
    <w:lvl w:ilvl="0" w:tplc="036C975C">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C14AC9"/>
    <w:multiLevelType w:val="multilevel"/>
    <w:tmpl w:val="A4DABA7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156828"/>
    <w:multiLevelType w:val="hybridMultilevel"/>
    <w:tmpl w:val="FF9E020E"/>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4695591">
    <w:abstractNumId w:val="5"/>
  </w:num>
  <w:num w:numId="2" w16cid:durableId="1282225579">
    <w:abstractNumId w:val="3"/>
  </w:num>
  <w:num w:numId="3" w16cid:durableId="836923977">
    <w:abstractNumId w:val="2"/>
  </w:num>
  <w:num w:numId="4" w16cid:durableId="529491798">
    <w:abstractNumId w:val="4"/>
  </w:num>
  <w:num w:numId="5" w16cid:durableId="952832550">
    <w:abstractNumId w:val="1"/>
  </w:num>
  <w:num w:numId="6" w16cid:durableId="261694645">
    <w:abstractNumId w:val="0"/>
  </w:num>
  <w:num w:numId="7" w16cid:durableId="85852402">
    <w:abstractNumId w:val="27"/>
  </w:num>
  <w:num w:numId="8" w16cid:durableId="1393115787">
    <w:abstractNumId w:val="31"/>
  </w:num>
  <w:num w:numId="9" w16cid:durableId="2061049222">
    <w:abstractNumId w:val="28"/>
  </w:num>
  <w:num w:numId="10" w16cid:durableId="173963181">
    <w:abstractNumId w:val="29"/>
  </w:num>
  <w:num w:numId="11" w16cid:durableId="2099478175">
    <w:abstractNumId w:val="34"/>
  </w:num>
  <w:num w:numId="12" w16cid:durableId="1816527356">
    <w:abstractNumId w:val="37"/>
  </w:num>
  <w:num w:numId="13" w16cid:durableId="418143109">
    <w:abstractNumId w:val="32"/>
  </w:num>
  <w:num w:numId="14" w16cid:durableId="199241679">
    <w:abstractNumId w:val="17"/>
  </w:num>
  <w:num w:numId="15" w16cid:durableId="617834866">
    <w:abstractNumId w:val="22"/>
  </w:num>
  <w:num w:numId="16" w16cid:durableId="1001784700">
    <w:abstractNumId w:val="20"/>
  </w:num>
  <w:num w:numId="17" w16cid:durableId="1920022680">
    <w:abstractNumId w:val="7"/>
  </w:num>
  <w:num w:numId="18" w16cid:durableId="1162814425">
    <w:abstractNumId w:val="26"/>
  </w:num>
  <w:num w:numId="19" w16cid:durableId="698774911">
    <w:abstractNumId w:val="19"/>
  </w:num>
  <w:num w:numId="20" w16cid:durableId="272399266">
    <w:abstractNumId w:val="30"/>
  </w:num>
  <w:num w:numId="21" w16cid:durableId="144008083">
    <w:abstractNumId w:val="25"/>
  </w:num>
  <w:num w:numId="22" w16cid:durableId="1071999411">
    <w:abstractNumId w:val="21"/>
  </w:num>
  <w:num w:numId="23" w16cid:durableId="644774752">
    <w:abstractNumId w:val="24"/>
  </w:num>
  <w:num w:numId="24" w16cid:durableId="777874969">
    <w:abstractNumId w:val="36"/>
  </w:num>
  <w:num w:numId="25" w16cid:durableId="1226449260">
    <w:abstractNumId w:val="14"/>
  </w:num>
  <w:num w:numId="26" w16cid:durableId="2137403339">
    <w:abstractNumId w:val="18"/>
  </w:num>
  <w:num w:numId="27" w16cid:durableId="137888131">
    <w:abstractNumId w:val="6"/>
  </w:num>
  <w:num w:numId="28" w16cid:durableId="423065549">
    <w:abstractNumId w:val="23"/>
  </w:num>
  <w:num w:numId="29" w16cid:durableId="1166171001">
    <w:abstractNumId w:val="15"/>
  </w:num>
  <w:num w:numId="30" w16cid:durableId="485363258">
    <w:abstractNumId w:val="38"/>
  </w:num>
  <w:num w:numId="31" w16cid:durableId="548035672">
    <w:abstractNumId w:val="33"/>
  </w:num>
  <w:num w:numId="32" w16cid:durableId="2090075176">
    <w:abstractNumId w:val="13"/>
  </w:num>
  <w:num w:numId="33" w16cid:durableId="2111536249">
    <w:abstractNumId w:val="11"/>
  </w:num>
  <w:num w:numId="34" w16cid:durableId="966740749">
    <w:abstractNumId w:val="12"/>
  </w:num>
  <w:num w:numId="35" w16cid:durableId="1272318649">
    <w:abstractNumId w:val="10"/>
  </w:num>
  <w:num w:numId="36" w16cid:durableId="1057359339">
    <w:abstractNumId w:val="16"/>
  </w:num>
  <w:num w:numId="37" w16cid:durableId="211162512">
    <w:abstractNumId w:val="35"/>
  </w:num>
  <w:num w:numId="38" w16cid:durableId="1815635818">
    <w:abstractNumId w:val="9"/>
  </w:num>
  <w:num w:numId="39" w16cid:durableId="734620532">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Harvard Havas&lt;/Style&gt;&lt;LeftDelim&gt;{&lt;/LeftDelim&gt;&lt;RightDelim&gt;}&lt;/RightDelim&gt;&lt;FontName&gt;Poppins&lt;/FontName&gt;&lt;FontSize&gt;10&lt;/FontSize&gt;&lt;ReflistTitle&gt;&lt;/ReflistTitle&gt;&lt;StartingRefnum&gt;1&lt;/StartingRefnum&gt;&lt;FirstLineIndent&gt;0&lt;/FirstLineIndent&gt;&lt;HangingIndent&gt;282&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5va0252p5fee95pj55es3tdereta29dxz&quot;&gt;alexandra.denby@havas.com&lt;record-ids&gt;&lt;item&gt;29303&lt;/item&gt;&lt;item&gt;29331&lt;/item&gt;&lt;item&gt;29356&lt;/item&gt;&lt;item&gt;29387&lt;/item&gt;&lt;item&gt;29432&lt;/item&gt;&lt;item&gt;30184&lt;/item&gt;&lt;item&gt;30350&lt;/item&gt;&lt;item&gt;31573&lt;/item&gt;&lt;item&gt;31647&lt;/item&gt;&lt;item&gt;31668&lt;/item&gt;&lt;/record-ids&gt;&lt;/item&gt;&lt;/Libraries&gt;"/>
    <w:docVar w:name="EN.UseJSCitationFormat" w:val="False"/>
  </w:docVars>
  <w:rsids>
    <w:rsidRoot w:val="00B47730"/>
    <w:rsid w:val="000034EA"/>
    <w:rsid w:val="00004042"/>
    <w:rsid w:val="00004D43"/>
    <w:rsid w:val="00005D9B"/>
    <w:rsid w:val="00006262"/>
    <w:rsid w:val="00006A01"/>
    <w:rsid w:val="00007777"/>
    <w:rsid w:val="00007BC7"/>
    <w:rsid w:val="0001040A"/>
    <w:rsid w:val="000112A9"/>
    <w:rsid w:val="000116A6"/>
    <w:rsid w:val="0001227D"/>
    <w:rsid w:val="000129A5"/>
    <w:rsid w:val="00013689"/>
    <w:rsid w:val="00016158"/>
    <w:rsid w:val="00016880"/>
    <w:rsid w:val="00017C92"/>
    <w:rsid w:val="0002259B"/>
    <w:rsid w:val="00023AE5"/>
    <w:rsid w:val="00027DDF"/>
    <w:rsid w:val="00034616"/>
    <w:rsid w:val="000349F3"/>
    <w:rsid w:val="000379B8"/>
    <w:rsid w:val="00041827"/>
    <w:rsid w:val="000466B8"/>
    <w:rsid w:val="00046D36"/>
    <w:rsid w:val="00052CF1"/>
    <w:rsid w:val="00053E01"/>
    <w:rsid w:val="0006063C"/>
    <w:rsid w:val="00061000"/>
    <w:rsid w:val="00062429"/>
    <w:rsid w:val="00063FB0"/>
    <w:rsid w:val="00064B52"/>
    <w:rsid w:val="00066BEB"/>
    <w:rsid w:val="000677F6"/>
    <w:rsid w:val="00076DFC"/>
    <w:rsid w:val="000807AF"/>
    <w:rsid w:val="00080BFD"/>
    <w:rsid w:val="00081AA2"/>
    <w:rsid w:val="00083107"/>
    <w:rsid w:val="000831D3"/>
    <w:rsid w:val="0008488D"/>
    <w:rsid w:val="0008525F"/>
    <w:rsid w:val="00086576"/>
    <w:rsid w:val="000923B8"/>
    <w:rsid w:val="00093877"/>
    <w:rsid w:val="0009413E"/>
    <w:rsid w:val="000943FF"/>
    <w:rsid w:val="00096AD3"/>
    <w:rsid w:val="000971C8"/>
    <w:rsid w:val="000A0970"/>
    <w:rsid w:val="000A0DC6"/>
    <w:rsid w:val="000A3147"/>
    <w:rsid w:val="000A326D"/>
    <w:rsid w:val="000A3DA0"/>
    <w:rsid w:val="000A5BD7"/>
    <w:rsid w:val="000A78CD"/>
    <w:rsid w:val="000B03B8"/>
    <w:rsid w:val="000B14CE"/>
    <w:rsid w:val="000B2D64"/>
    <w:rsid w:val="000B3477"/>
    <w:rsid w:val="000B4F54"/>
    <w:rsid w:val="000B52A1"/>
    <w:rsid w:val="000C07B7"/>
    <w:rsid w:val="000C3820"/>
    <w:rsid w:val="000C7190"/>
    <w:rsid w:val="000D1BD5"/>
    <w:rsid w:val="000D1E86"/>
    <w:rsid w:val="000D3D85"/>
    <w:rsid w:val="000D4623"/>
    <w:rsid w:val="000D464C"/>
    <w:rsid w:val="000D6382"/>
    <w:rsid w:val="000E1566"/>
    <w:rsid w:val="000E37C1"/>
    <w:rsid w:val="000E4452"/>
    <w:rsid w:val="000E4EAE"/>
    <w:rsid w:val="000E6D81"/>
    <w:rsid w:val="000E7325"/>
    <w:rsid w:val="000E73AD"/>
    <w:rsid w:val="000F0C33"/>
    <w:rsid w:val="000F24BB"/>
    <w:rsid w:val="000F2E10"/>
    <w:rsid w:val="000F46BA"/>
    <w:rsid w:val="000F5BF2"/>
    <w:rsid w:val="000F5F8E"/>
    <w:rsid w:val="000F732E"/>
    <w:rsid w:val="000F77BC"/>
    <w:rsid w:val="0010227B"/>
    <w:rsid w:val="00102802"/>
    <w:rsid w:val="001034B8"/>
    <w:rsid w:val="00105B46"/>
    <w:rsid w:val="00105DBE"/>
    <w:rsid w:val="00106075"/>
    <w:rsid w:val="00113B15"/>
    <w:rsid w:val="00115E75"/>
    <w:rsid w:val="0012049A"/>
    <w:rsid w:val="001209DA"/>
    <w:rsid w:val="001226A3"/>
    <w:rsid w:val="0012331B"/>
    <w:rsid w:val="00124B81"/>
    <w:rsid w:val="00126A1D"/>
    <w:rsid w:val="001273FD"/>
    <w:rsid w:val="00127AA9"/>
    <w:rsid w:val="001301EB"/>
    <w:rsid w:val="00130744"/>
    <w:rsid w:val="00130D6E"/>
    <w:rsid w:val="00134026"/>
    <w:rsid w:val="00135281"/>
    <w:rsid w:val="00135DFE"/>
    <w:rsid w:val="001371BE"/>
    <w:rsid w:val="00137326"/>
    <w:rsid w:val="001376B9"/>
    <w:rsid w:val="001377C4"/>
    <w:rsid w:val="00137FD3"/>
    <w:rsid w:val="00141090"/>
    <w:rsid w:val="00144756"/>
    <w:rsid w:val="00147768"/>
    <w:rsid w:val="00147EEA"/>
    <w:rsid w:val="001500DB"/>
    <w:rsid w:val="0015074B"/>
    <w:rsid w:val="00151B0B"/>
    <w:rsid w:val="00151C44"/>
    <w:rsid w:val="001537F8"/>
    <w:rsid w:val="0015407C"/>
    <w:rsid w:val="001542AB"/>
    <w:rsid w:val="00154F60"/>
    <w:rsid w:val="00156840"/>
    <w:rsid w:val="00175625"/>
    <w:rsid w:val="00175CDA"/>
    <w:rsid w:val="0017674A"/>
    <w:rsid w:val="001776C6"/>
    <w:rsid w:val="00177990"/>
    <w:rsid w:val="0018030D"/>
    <w:rsid w:val="00182749"/>
    <w:rsid w:val="00183369"/>
    <w:rsid w:val="0018350B"/>
    <w:rsid w:val="0018576F"/>
    <w:rsid w:val="00192675"/>
    <w:rsid w:val="001932BD"/>
    <w:rsid w:val="00196116"/>
    <w:rsid w:val="00196DB5"/>
    <w:rsid w:val="001A3875"/>
    <w:rsid w:val="001A5E2A"/>
    <w:rsid w:val="001A5E5A"/>
    <w:rsid w:val="001B07E5"/>
    <w:rsid w:val="001B1738"/>
    <w:rsid w:val="001B1BDE"/>
    <w:rsid w:val="001B1BF4"/>
    <w:rsid w:val="001B25DC"/>
    <w:rsid w:val="001B36E6"/>
    <w:rsid w:val="001B36EE"/>
    <w:rsid w:val="001B4550"/>
    <w:rsid w:val="001C0117"/>
    <w:rsid w:val="001C0878"/>
    <w:rsid w:val="001C0B20"/>
    <w:rsid w:val="001C5BD1"/>
    <w:rsid w:val="001D0528"/>
    <w:rsid w:val="001D0950"/>
    <w:rsid w:val="001D0B8F"/>
    <w:rsid w:val="001D1BDC"/>
    <w:rsid w:val="001D227F"/>
    <w:rsid w:val="001D296E"/>
    <w:rsid w:val="001D3C5C"/>
    <w:rsid w:val="001D4399"/>
    <w:rsid w:val="001E0071"/>
    <w:rsid w:val="001E070D"/>
    <w:rsid w:val="001E0DDD"/>
    <w:rsid w:val="001E18DF"/>
    <w:rsid w:val="001E1DC7"/>
    <w:rsid w:val="001E3BB7"/>
    <w:rsid w:val="001E4EFF"/>
    <w:rsid w:val="001E501A"/>
    <w:rsid w:val="001E6C64"/>
    <w:rsid w:val="001F1EFA"/>
    <w:rsid w:val="001F4871"/>
    <w:rsid w:val="001F4FC7"/>
    <w:rsid w:val="00201A26"/>
    <w:rsid w:val="00206B1B"/>
    <w:rsid w:val="0020789C"/>
    <w:rsid w:val="00210321"/>
    <w:rsid w:val="00211CB6"/>
    <w:rsid w:val="002148FB"/>
    <w:rsid w:val="002168DA"/>
    <w:rsid w:val="00220283"/>
    <w:rsid w:val="00220E34"/>
    <w:rsid w:val="00222C7D"/>
    <w:rsid w:val="002238F7"/>
    <w:rsid w:val="00224868"/>
    <w:rsid w:val="0022566B"/>
    <w:rsid w:val="002310CE"/>
    <w:rsid w:val="002310EF"/>
    <w:rsid w:val="0023335E"/>
    <w:rsid w:val="00233C97"/>
    <w:rsid w:val="002341B8"/>
    <w:rsid w:val="002350E0"/>
    <w:rsid w:val="002368D6"/>
    <w:rsid w:val="00236EE2"/>
    <w:rsid w:val="00241B29"/>
    <w:rsid w:val="00242518"/>
    <w:rsid w:val="00242745"/>
    <w:rsid w:val="00243588"/>
    <w:rsid w:val="0024361A"/>
    <w:rsid w:val="0024592A"/>
    <w:rsid w:val="0025012C"/>
    <w:rsid w:val="002510CB"/>
    <w:rsid w:val="00261F30"/>
    <w:rsid w:val="0026678F"/>
    <w:rsid w:val="00266FC1"/>
    <w:rsid w:val="00267A79"/>
    <w:rsid w:val="00267D11"/>
    <w:rsid w:val="00271FA3"/>
    <w:rsid w:val="00272679"/>
    <w:rsid w:val="00273605"/>
    <w:rsid w:val="002768C0"/>
    <w:rsid w:val="00276DA0"/>
    <w:rsid w:val="00280670"/>
    <w:rsid w:val="00281F5E"/>
    <w:rsid w:val="0028298C"/>
    <w:rsid w:val="002835CD"/>
    <w:rsid w:val="00285D38"/>
    <w:rsid w:val="00285D69"/>
    <w:rsid w:val="00286B3D"/>
    <w:rsid w:val="002902C4"/>
    <w:rsid w:val="0029126D"/>
    <w:rsid w:val="0029595E"/>
    <w:rsid w:val="00295A00"/>
    <w:rsid w:val="00295B83"/>
    <w:rsid w:val="0029639D"/>
    <w:rsid w:val="00297454"/>
    <w:rsid w:val="0029799F"/>
    <w:rsid w:val="002A2B7B"/>
    <w:rsid w:val="002A2C58"/>
    <w:rsid w:val="002A311F"/>
    <w:rsid w:val="002A35CB"/>
    <w:rsid w:val="002A455B"/>
    <w:rsid w:val="002B1318"/>
    <w:rsid w:val="002B269B"/>
    <w:rsid w:val="002B3953"/>
    <w:rsid w:val="002B53C2"/>
    <w:rsid w:val="002B5EEB"/>
    <w:rsid w:val="002C0C79"/>
    <w:rsid w:val="002C10C6"/>
    <w:rsid w:val="002C404C"/>
    <w:rsid w:val="002C4192"/>
    <w:rsid w:val="002D5CF5"/>
    <w:rsid w:val="002D70E3"/>
    <w:rsid w:val="002D7B52"/>
    <w:rsid w:val="002E1E43"/>
    <w:rsid w:val="002E20C1"/>
    <w:rsid w:val="002E24AC"/>
    <w:rsid w:val="002E3ACC"/>
    <w:rsid w:val="002E4E4A"/>
    <w:rsid w:val="002E56FF"/>
    <w:rsid w:val="002E71C9"/>
    <w:rsid w:val="002E7A02"/>
    <w:rsid w:val="002F142E"/>
    <w:rsid w:val="002F4C76"/>
    <w:rsid w:val="002F5917"/>
    <w:rsid w:val="002F5C36"/>
    <w:rsid w:val="002F6390"/>
    <w:rsid w:val="00302771"/>
    <w:rsid w:val="00302C79"/>
    <w:rsid w:val="00303B1E"/>
    <w:rsid w:val="0030404D"/>
    <w:rsid w:val="003041F1"/>
    <w:rsid w:val="00307EDC"/>
    <w:rsid w:val="003106A2"/>
    <w:rsid w:val="00311606"/>
    <w:rsid w:val="00311EB1"/>
    <w:rsid w:val="00312D18"/>
    <w:rsid w:val="00314AF8"/>
    <w:rsid w:val="003151C2"/>
    <w:rsid w:val="003200A8"/>
    <w:rsid w:val="00321002"/>
    <w:rsid w:val="00322054"/>
    <w:rsid w:val="003235B0"/>
    <w:rsid w:val="00325539"/>
    <w:rsid w:val="00326552"/>
    <w:rsid w:val="00326F90"/>
    <w:rsid w:val="0032766D"/>
    <w:rsid w:val="0032789D"/>
    <w:rsid w:val="003333DE"/>
    <w:rsid w:val="00334004"/>
    <w:rsid w:val="00334DD2"/>
    <w:rsid w:val="00341934"/>
    <w:rsid w:val="003431BD"/>
    <w:rsid w:val="003449A4"/>
    <w:rsid w:val="003473BB"/>
    <w:rsid w:val="00350343"/>
    <w:rsid w:val="00351E83"/>
    <w:rsid w:val="00352212"/>
    <w:rsid w:val="00354E14"/>
    <w:rsid w:val="00355640"/>
    <w:rsid w:val="003578A8"/>
    <w:rsid w:val="00360482"/>
    <w:rsid w:val="00361000"/>
    <w:rsid w:val="00362E3E"/>
    <w:rsid w:val="003634E7"/>
    <w:rsid w:val="003652FE"/>
    <w:rsid w:val="00366969"/>
    <w:rsid w:val="003729C8"/>
    <w:rsid w:val="00373C4A"/>
    <w:rsid w:val="00373CD5"/>
    <w:rsid w:val="00374943"/>
    <w:rsid w:val="00374D38"/>
    <w:rsid w:val="00380B32"/>
    <w:rsid w:val="0038137D"/>
    <w:rsid w:val="00383C10"/>
    <w:rsid w:val="00383DB2"/>
    <w:rsid w:val="00383E33"/>
    <w:rsid w:val="003878D1"/>
    <w:rsid w:val="00387971"/>
    <w:rsid w:val="00392705"/>
    <w:rsid w:val="0039559B"/>
    <w:rsid w:val="00395B4A"/>
    <w:rsid w:val="00396A49"/>
    <w:rsid w:val="003974BA"/>
    <w:rsid w:val="003A009A"/>
    <w:rsid w:val="003A0543"/>
    <w:rsid w:val="003A06AB"/>
    <w:rsid w:val="003A1069"/>
    <w:rsid w:val="003A11A9"/>
    <w:rsid w:val="003A1CA9"/>
    <w:rsid w:val="003A2BFA"/>
    <w:rsid w:val="003A3B9D"/>
    <w:rsid w:val="003A4F6D"/>
    <w:rsid w:val="003A5025"/>
    <w:rsid w:val="003B163D"/>
    <w:rsid w:val="003B1F95"/>
    <w:rsid w:val="003B33D1"/>
    <w:rsid w:val="003B709F"/>
    <w:rsid w:val="003C00D8"/>
    <w:rsid w:val="003C0ABB"/>
    <w:rsid w:val="003C18BE"/>
    <w:rsid w:val="003C263F"/>
    <w:rsid w:val="003C3C23"/>
    <w:rsid w:val="003C4A06"/>
    <w:rsid w:val="003C5247"/>
    <w:rsid w:val="003C7848"/>
    <w:rsid w:val="003C7BA0"/>
    <w:rsid w:val="003D1DF7"/>
    <w:rsid w:val="003D3CD0"/>
    <w:rsid w:val="003D52B0"/>
    <w:rsid w:val="003D5376"/>
    <w:rsid w:val="003E0491"/>
    <w:rsid w:val="003E17CA"/>
    <w:rsid w:val="003E2205"/>
    <w:rsid w:val="003E39CD"/>
    <w:rsid w:val="003E3BA6"/>
    <w:rsid w:val="003E7877"/>
    <w:rsid w:val="003F277B"/>
    <w:rsid w:val="003F2FA4"/>
    <w:rsid w:val="003F3494"/>
    <w:rsid w:val="003F43FE"/>
    <w:rsid w:val="003F6ED7"/>
    <w:rsid w:val="003F79E9"/>
    <w:rsid w:val="003F7C7E"/>
    <w:rsid w:val="00400502"/>
    <w:rsid w:val="004024CD"/>
    <w:rsid w:val="004045DA"/>
    <w:rsid w:val="00404899"/>
    <w:rsid w:val="0040603E"/>
    <w:rsid w:val="00407099"/>
    <w:rsid w:val="00407F3A"/>
    <w:rsid w:val="004111A4"/>
    <w:rsid w:val="00414266"/>
    <w:rsid w:val="004144D4"/>
    <w:rsid w:val="004157CC"/>
    <w:rsid w:val="00420419"/>
    <w:rsid w:val="0042081F"/>
    <w:rsid w:val="0042151B"/>
    <w:rsid w:val="0042202B"/>
    <w:rsid w:val="004247EB"/>
    <w:rsid w:val="00424D5A"/>
    <w:rsid w:val="00430C78"/>
    <w:rsid w:val="00434430"/>
    <w:rsid w:val="004374F8"/>
    <w:rsid w:val="00437A32"/>
    <w:rsid w:val="00440E08"/>
    <w:rsid w:val="0044371C"/>
    <w:rsid w:val="00443ACB"/>
    <w:rsid w:val="00444A06"/>
    <w:rsid w:val="00445E90"/>
    <w:rsid w:val="004469CD"/>
    <w:rsid w:val="00447C45"/>
    <w:rsid w:val="00450627"/>
    <w:rsid w:val="00450D0C"/>
    <w:rsid w:val="004526DE"/>
    <w:rsid w:val="00454DDC"/>
    <w:rsid w:val="0045647D"/>
    <w:rsid w:val="0045741B"/>
    <w:rsid w:val="0045760F"/>
    <w:rsid w:val="00460C6C"/>
    <w:rsid w:val="00461AF8"/>
    <w:rsid w:val="0046483E"/>
    <w:rsid w:val="00465EC0"/>
    <w:rsid w:val="004670FA"/>
    <w:rsid w:val="004673CF"/>
    <w:rsid w:val="00474064"/>
    <w:rsid w:val="00474368"/>
    <w:rsid w:val="00474490"/>
    <w:rsid w:val="00474A5C"/>
    <w:rsid w:val="004761B9"/>
    <w:rsid w:val="00477228"/>
    <w:rsid w:val="004773A1"/>
    <w:rsid w:val="00481952"/>
    <w:rsid w:val="0048352B"/>
    <w:rsid w:val="00487F85"/>
    <w:rsid w:val="00490CA3"/>
    <w:rsid w:val="0049151B"/>
    <w:rsid w:val="00491743"/>
    <w:rsid w:val="00492EF2"/>
    <w:rsid w:val="00493934"/>
    <w:rsid w:val="004949F6"/>
    <w:rsid w:val="004953C5"/>
    <w:rsid w:val="0049726A"/>
    <w:rsid w:val="004974B8"/>
    <w:rsid w:val="004A24A0"/>
    <w:rsid w:val="004A2D75"/>
    <w:rsid w:val="004B282C"/>
    <w:rsid w:val="004B37D2"/>
    <w:rsid w:val="004B3FF6"/>
    <w:rsid w:val="004B65A5"/>
    <w:rsid w:val="004B674B"/>
    <w:rsid w:val="004C3956"/>
    <w:rsid w:val="004C4516"/>
    <w:rsid w:val="004C4993"/>
    <w:rsid w:val="004C4E06"/>
    <w:rsid w:val="004C5DA1"/>
    <w:rsid w:val="004C7EB8"/>
    <w:rsid w:val="004D04BF"/>
    <w:rsid w:val="004D0F58"/>
    <w:rsid w:val="004D3BC7"/>
    <w:rsid w:val="004D3DE7"/>
    <w:rsid w:val="004D760F"/>
    <w:rsid w:val="004D7FC7"/>
    <w:rsid w:val="004E03CB"/>
    <w:rsid w:val="004E3E81"/>
    <w:rsid w:val="004E445F"/>
    <w:rsid w:val="004E481E"/>
    <w:rsid w:val="004E6766"/>
    <w:rsid w:val="004E73B4"/>
    <w:rsid w:val="004F0061"/>
    <w:rsid w:val="004F0201"/>
    <w:rsid w:val="004F0BA6"/>
    <w:rsid w:val="004F4111"/>
    <w:rsid w:val="004F4441"/>
    <w:rsid w:val="004F44B4"/>
    <w:rsid w:val="004F6F94"/>
    <w:rsid w:val="00502013"/>
    <w:rsid w:val="005037C3"/>
    <w:rsid w:val="00503A4E"/>
    <w:rsid w:val="005040C8"/>
    <w:rsid w:val="005072F7"/>
    <w:rsid w:val="005107D5"/>
    <w:rsid w:val="00511E82"/>
    <w:rsid w:val="00512648"/>
    <w:rsid w:val="00516617"/>
    <w:rsid w:val="00517467"/>
    <w:rsid w:val="00520165"/>
    <w:rsid w:val="00523450"/>
    <w:rsid w:val="005235DE"/>
    <w:rsid w:val="0052366A"/>
    <w:rsid w:val="005241F1"/>
    <w:rsid w:val="00524900"/>
    <w:rsid w:val="0052567C"/>
    <w:rsid w:val="005258E6"/>
    <w:rsid w:val="00525AC7"/>
    <w:rsid w:val="00530497"/>
    <w:rsid w:val="005309BE"/>
    <w:rsid w:val="00531388"/>
    <w:rsid w:val="0053207A"/>
    <w:rsid w:val="0053265D"/>
    <w:rsid w:val="00532FF4"/>
    <w:rsid w:val="0053354E"/>
    <w:rsid w:val="0053391E"/>
    <w:rsid w:val="005348FA"/>
    <w:rsid w:val="00534FB9"/>
    <w:rsid w:val="0053594C"/>
    <w:rsid w:val="005371A0"/>
    <w:rsid w:val="00537A5D"/>
    <w:rsid w:val="005403BD"/>
    <w:rsid w:val="00542E99"/>
    <w:rsid w:val="00543033"/>
    <w:rsid w:val="00544168"/>
    <w:rsid w:val="0054461F"/>
    <w:rsid w:val="00547671"/>
    <w:rsid w:val="00550F2C"/>
    <w:rsid w:val="00551E84"/>
    <w:rsid w:val="00551EF8"/>
    <w:rsid w:val="00553C4E"/>
    <w:rsid w:val="0055639E"/>
    <w:rsid w:val="005577BF"/>
    <w:rsid w:val="00561675"/>
    <w:rsid w:val="00562154"/>
    <w:rsid w:val="005623AC"/>
    <w:rsid w:val="00562C79"/>
    <w:rsid w:val="0056312F"/>
    <w:rsid w:val="0056327B"/>
    <w:rsid w:val="00565A21"/>
    <w:rsid w:val="005665C0"/>
    <w:rsid w:val="00567710"/>
    <w:rsid w:val="00570A63"/>
    <w:rsid w:val="00571B01"/>
    <w:rsid w:val="0057223A"/>
    <w:rsid w:val="0057353A"/>
    <w:rsid w:val="005768F8"/>
    <w:rsid w:val="00576B66"/>
    <w:rsid w:val="00576F68"/>
    <w:rsid w:val="00577143"/>
    <w:rsid w:val="00580A2C"/>
    <w:rsid w:val="00582784"/>
    <w:rsid w:val="005868EA"/>
    <w:rsid w:val="0058732A"/>
    <w:rsid w:val="005876D2"/>
    <w:rsid w:val="005878DA"/>
    <w:rsid w:val="00587A36"/>
    <w:rsid w:val="005907F7"/>
    <w:rsid w:val="005910C1"/>
    <w:rsid w:val="005939F6"/>
    <w:rsid w:val="0059428E"/>
    <w:rsid w:val="00594512"/>
    <w:rsid w:val="00595EA1"/>
    <w:rsid w:val="005965B3"/>
    <w:rsid w:val="00597078"/>
    <w:rsid w:val="005972E1"/>
    <w:rsid w:val="005A164C"/>
    <w:rsid w:val="005A4844"/>
    <w:rsid w:val="005A744B"/>
    <w:rsid w:val="005B1D3E"/>
    <w:rsid w:val="005B1F49"/>
    <w:rsid w:val="005B5B24"/>
    <w:rsid w:val="005C015D"/>
    <w:rsid w:val="005C0DEA"/>
    <w:rsid w:val="005C1F0C"/>
    <w:rsid w:val="005C3BF4"/>
    <w:rsid w:val="005C702D"/>
    <w:rsid w:val="005D1256"/>
    <w:rsid w:val="005D155B"/>
    <w:rsid w:val="005D33DE"/>
    <w:rsid w:val="005D35F9"/>
    <w:rsid w:val="005D63E5"/>
    <w:rsid w:val="005D7CA4"/>
    <w:rsid w:val="005E0B6A"/>
    <w:rsid w:val="005E513B"/>
    <w:rsid w:val="005E5DE9"/>
    <w:rsid w:val="005E6E5B"/>
    <w:rsid w:val="005F52FE"/>
    <w:rsid w:val="005F777E"/>
    <w:rsid w:val="0060021F"/>
    <w:rsid w:val="00600D1D"/>
    <w:rsid w:val="00601D4B"/>
    <w:rsid w:val="0060320B"/>
    <w:rsid w:val="00606610"/>
    <w:rsid w:val="0060747E"/>
    <w:rsid w:val="006141A1"/>
    <w:rsid w:val="00614D9A"/>
    <w:rsid w:val="00616592"/>
    <w:rsid w:val="00620345"/>
    <w:rsid w:val="00620740"/>
    <w:rsid w:val="00620DC9"/>
    <w:rsid w:val="006217AF"/>
    <w:rsid w:val="0062206C"/>
    <w:rsid w:val="006221DE"/>
    <w:rsid w:val="00625776"/>
    <w:rsid w:val="00627633"/>
    <w:rsid w:val="00630DEC"/>
    <w:rsid w:val="00631348"/>
    <w:rsid w:val="00631C12"/>
    <w:rsid w:val="00632F43"/>
    <w:rsid w:val="00633072"/>
    <w:rsid w:val="006331D1"/>
    <w:rsid w:val="006348B6"/>
    <w:rsid w:val="00635955"/>
    <w:rsid w:val="00636D44"/>
    <w:rsid w:val="006408C8"/>
    <w:rsid w:val="006437F4"/>
    <w:rsid w:val="0064417B"/>
    <w:rsid w:val="0064443A"/>
    <w:rsid w:val="006456C5"/>
    <w:rsid w:val="006470A6"/>
    <w:rsid w:val="0064757B"/>
    <w:rsid w:val="006500BB"/>
    <w:rsid w:val="00650ECF"/>
    <w:rsid w:val="00652D4F"/>
    <w:rsid w:val="00653399"/>
    <w:rsid w:val="00654693"/>
    <w:rsid w:val="00654A91"/>
    <w:rsid w:val="00654B8D"/>
    <w:rsid w:val="00656262"/>
    <w:rsid w:val="00662DAF"/>
    <w:rsid w:val="00664982"/>
    <w:rsid w:val="00664D3D"/>
    <w:rsid w:val="00665928"/>
    <w:rsid w:val="00667C5D"/>
    <w:rsid w:val="00670394"/>
    <w:rsid w:val="00671B21"/>
    <w:rsid w:val="0067275F"/>
    <w:rsid w:val="00674CAB"/>
    <w:rsid w:val="006761C0"/>
    <w:rsid w:val="00680BB0"/>
    <w:rsid w:val="00680D64"/>
    <w:rsid w:val="00682535"/>
    <w:rsid w:val="00683650"/>
    <w:rsid w:val="00684EF4"/>
    <w:rsid w:val="00686BBD"/>
    <w:rsid w:val="00686E75"/>
    <w:rsid w:val="00692289"/>
    <w:rsid w:val="00694FB2"/>
    <w:rsid w:val="006965F7"/>
    <w:rsid w:val="0069792B"/>
    <w:rsid w:val="006A0072"/>
    <w:rsid w:val="006A059A"/>
    <w:rsid w:val="006A24B1"/>
    <w:rsid w:val="006A2E98"/>
    <w:rsid w:val="006A36BB"/>
    <w:rsid w:val="006A4308"/>
    <w:rsid w:val="006A50D1"/>
    <w:rsid w:val="006A538A"/>
    <w:rsid w:val="006A5BAC"/>
    <w:rsid w:val="006B4A48"/>
    <w:rsid w:val="006B72A9"/>
    <w:rsid w:val="006C36EC"/>
    <w:rsid w:val="006C5E86"/>
    <w:rsid w:val="006C74F2"/>
    <w:rsid w:val="006D0826"/>
    <w:rsid w:val="006D1573"/>
    <w:rsid w:val="006D6172"/>
    <w:rsid w:val="006D77EA"/>
    <w:rsid w:val="006E1E4A"/>
    <w:rsid w:val="006E701D"/>
    <w:rsid w:val="006F0FC2"/>
    <w:rsid w:val="006F3809"/>
    <w:rsid w:val="006F45E3"/>
    <w:rsid w:val="006F48D3"/>
    <w:rsid w:val="006F53C5"/>
    <w:rsid w:val="006F5973"/>
    <w:rsid w:val="006F5DBA"/>
    <w:rsid w:val="006F632F"/>
    <w:rsid w:val="0070005A"/>
    <w:rsid w:val="0070049B"/>
    <w:rsid w:val="00700EBB"/>
    <w:rsid w:val="00700F91"/>
    <w:rsid w:val="0070484E"/>
    <w:rsid w:val="00704D7B"/>
    <w:rsid w:val="00706FDA"/>
    <w:rsid w:val="007070E6"/>
    <w:rsid w:val="007071D2"/>
    <w:rsid w:val="007075DC"/>
    <w:rsid w:val="00710ACE"/>
    <w:rsid w:val="00712B4D"/>
    <w:rsid w:val="00713C45"/>
    <w:rsid w:val="00714E12"/>
    <w:rsid w:val="007218DA"/>
    <w:rsid w:val="00721E9E"/>
    <w:rsid w:val="00723D4A"/>
    <w:rsid w:val="00726BD1"/>
    <w:rsid w:val="00727D8D"/>
    <w:rsid w:val="00727FC6"/>
    <w:rsid w:val="007300DE"/>
    <w:rsid w:val="00730C7D"/>
    <w:rsid w:val="00730CB9"/>
    <w:rsid w:val="0073255B"/>
    <w:rsid w:val="00733797"/>
    <w:rsid w:val="00734874"/>
    <w:rsid w:val="00735199"/>
    <w:rsid w:val="007358CB"/>
    <w:rsid w:val="00745535"/>
    <w:rsid w:val="007473D7"/>
    <w:rsid w:val="00750B14"/>
    <w:rsid w:val="00751707"/>
    <w:rsid w:val="00752828"/>
    <w:rsid w:val="00753FE9"/>
    <w:rsid w:val="00755A81"/>
    <w:rsid w:val="00757C66"/>
    <w:rsid w:val="007620B0"/>
    <w:rsid w:val="007624A2"/>
    <w:rsid w:val="007643E4"/>
    <w:rsid w:val="0076445E"/>
    <w:rsid w:val="00764F52"/>
    <w:rsid w:val="0076526B"/>
    <w:rsid w:val="007665BC"/>
    <w:rsid w:val="00766A2D"/>
    <w:rsid w:val="00767412"/>
    <w:rsid w:val="00770312"/>
    <w:rsid w:val="00770AA7"/>
    <w:rsid w:val="00774F15"/>
    <w:rsid w:val="007754B8"/>
    <w:rsid w:val="0078034A"/>
    <w:rsid w:val="00787FC2"/>
    <w:rsid w:val="00791915"/>
    <w:rsid w:val="007931C0"/>
    <w:rsid w:val="00793D9B"/>
    <w:rsid w:val="00795851"/>
    <w:rsid w:val="00795E7B"/>
    <w:rsid w:val="00797603"/>
    <w:rsid w:val="007A02DD"/>
    <w:rsid w:val="007A03B1"/>
    <w:rsid w:val="007A0552"/>
    <w:rsid w:val="007B00D7"/>
    <w:rsid w:val="007B12BA"/>
    <w:rsid w:val="007B6371"/>
    <w:rsid w:val="007B7B7F"/>
    <w:rsid w:val="007C4B83"/>
    <w:rsid w:val="007C57E5"/>
    <w:rsid w:val="007C5948"/>
    <w:rsid w:val="007C6885"/>
    <w:rsid w:val="007E1756"/>
    <w:rsid w:val="007E2409"/>
    <w:rsid w:val="007E2726"/>
    <w:rsid w:val="007E2D77"/>
    <w:rsid w:val="007E421A"/>
    <w:rsid w:val="007E5C05"/>
    <w:rsid w:val="007F0888"/>
    <w:rsid w:val="007F1AAD"/>
    <w:rsid w:val="007F258F"/>
    <w:rsid w:val="007F55FE"/>
    <w:rsid w:val="007F6AB5"/>
    <w:rsid w:val="00800EFD"/>
    <w:rsid w:val="008021DF"/>
    <w:rsid w:val="00803CB0"/>
    <w:rsid w:val="00803DA2"/>
    <w:rsid w:val="00803DAA"/>
    <w:rsid w:val="00804CD7"/>
    <w:rsid w:val="00805B12"/>
    <w:rsid w:val="00810A1F"/>
    <w:rsid w:val="0081130C"/>
    <w:rsid w:val="00813FFD"/>
    <w:rsid w:val="00814E5C"/>
    <w:rsid w:val="008166AE"/>
    <w:rsid w:val="00817466"/>
    <w:rsid w:val="008208B1"/>
    <w:rsid w:val="00820ED1"/>
    <w:rsid w:val="008220D2"/>
    <w:rsid w:val="00831142"/>
    <w:rsid w:val="0083194A"/>
    <w:rsid w:val="00832ED1"/>
    <w:rsid w:val="0083401A"/>
    <w:rsid w:val="00834751"/>
    <w:rsid w:val="0083497D"/>
    <w:rsid w:val="00837DE6"/>
    <w:rsid w:val="00837EE4"/>
    <w:rsid w:val="0084313D"/>
    <w:rsid w:val="00843AB3"/>
    <w:rsid w:val="00843D4E"/>
    <w:rsid w:val="0084523D"/>
    <w:rsid w:val="008463ED"/>
    <w:rsid w:val="00846474"/>
    <w:rsid w:val="00850964"/>
    <w:rsid w:val="00851275"/>
    <w:rsid w:val="00852857"/>
    <w:rsid w:val="008546A1"/>
    <w:rsid w:val="00854AB5"/>
    <w:rsid w:val="00862DB9"/>
    <w:rsid w:val="00863060"/>
    <w:rsid w:val="00863348"/>
    <w:rsid w:val="00865900"/>
    <w:rsid w:val="008668AA"/>
    <w:rsid w:val="00867435"/>
    <w:rsid w:val="00867BCE"/>
    <w:rsid w:val="00871B90"/>
    <w:rsid w:val="0087339F"/>
    <w:rsid w:val="008736DC"/>
    <w:rsid w:val="00873777"/>
    <w:rsid w:val="00874A1B"/>
    <w:rsid w:val="008752A6"/>
    <w:rsid w:val="00876247"/>
    <w:rsid w:val="00876673"/>
    <w:rsid w:val="0088202A"/>
    <w:rsid w:val="008850B1"/>
    <w:rsid w:val="00885DA9"/>
    <w:rsid w:val="00886C48"/>
    <w:rsid w:val="00891E89"/>
    <w:rsid w:val="00894FED"/>
    <w:rsid w:val="0089621F"/>
    <w:rsid w:val="00896AB6"/>
    <w:rsid w:val="008A1183"/>
    <w:rsid w:val="008A2283"/>
    <w:rsid w:val="008A3492"/>
    <w:rsid w:val="008A34F7"/>
    <w:rsid w:val="008A3A4D"/>
    <w:rsid w:val="008B1F80"/>
    <w:rsid w:val="008B253D"/>
    <w:rsid w:val="008B4BD4"/>
    <w:rsid w:val="008B6779"/>
    <w:rsid w:val="008B70D1"/>
    <w:rsid w:val="008C4C1C"/>
    <w:rsid w:val="008C6A74"/>
    <w:rsid w:val="008C6F7C"/>
    <w:rsid w:val="008C736A"/>
    <w:rsid w:val="008D76EF"/>
    <w:rsid w:val="008D7AF8"/>
    <w:rsid w:val="008E1D65"/>
    <w:rsid w:val="008E2B76"/>
    <w:rsid w:val="008E3970"/>
    <w:rsid w:val="008E4095"/>
    <w:rsid w:val="008E40E4"/>
    <w:rsid w:val="008E4167"/>
    <w:rsid w:val="008E6560"/>
    <w:rsid w:val="008F0896"/>
    <w:rsid w:val="008F1982"/>
    <w:rsid w:val="008F2A97"/>
    <w:rsid w:val="00902B4D"/>
    <w:rsid w:val="00905335"/>
    <w:rsid w:val="00905817"/>
    <w:rsid w:val="00905FE9"/>
    <w:rsid w:val="00907C43"/>
    <w:rsid w:val="0091047D"/>
    <w:rsid w:val="00911BF2"/>
    <w:rsid w:val="00913708"/>
    <w:rsid w:val="009154B9"/>
    <w:rsid w:val="009158D8"/>
    <w:rsid w:val="00917A83"/>
    <w:rsid w:val="00924E32"/>
    <w:rsid w:val="00926013"/>
    <w:rsid w:val="009262A1"/>
    <w:rsid w:val="00931E2C"/>
    <w:rsid w:val="00932CBC"/>
    <w:rsid w:val="00933536"/>
    <w:rsid w:val="00934DC6"/>
    <w:rsid w:val="0094129F"/>
    <w:rsid w:val="009418AD"/>
    <w:rsid w:val="009418D6"/>
    <w:rsid w:val="009426AF"/>
    <w:rsid w:val="00944725"/>
    <w:rsid w:val="0094602A"/>
    <w:rsid w:val="00947A01"/>
    <w:rsid w:val="00950487"/>
    <w:rsid w:val="00955F48"/>
    <w:rsid w:val="00956781"/>
    <w:rsid w:val="00956C5D"/>
    <w:rsid w:val="00957B81"/>
    <w:rsid w:val="00960BE1"/>
    <w:rsid w:val="009614BB"/>
    <w:rsid w:val="00963FEB"/>
    <w:rsid w:val="00973815"/>
    <w:rsid w:val="00973E5A"/>
    <w:rsid w:val="00974651"/>
    <w:rsid w:val="0097516D"/>
    <w:rsid w:val="00975902"/>
    <w:rsid w:val="00976559"/>
    <w:rsid w:val="00977FEE"/>
    <w:rsid w:val="00980080"/>
    <w:rsid w:val="00981F8A"/>
    <w:rsid w:val="00984027"/>
    <w:rsid w:val="00985F46"/>
    <w:rsid w:val="009876F4"/>
    <w:rsid w:val="00991949"/>
    <w:rsid w:val="00993F0A"/>
    <w:rsid w:val="0099547D"/>
    <w:rsid w:val="009A09B2"/>
    <w:rsid w:val="009A0B52"/>
    <w:rsid w:val="009A10EE"/>
    <w:rsid w:val="009A169B"/>
    <w:rsid w:val="009A1C14"/>
    <w:rsid w:val="009A5EDD"/>
    <w:rsid w:val="009A6763"/>
    <w:rsid w:val="009A7889"/>
    <w:rsid w:val="009C1D73"/>
    <w:rsid w:val="009C2205"/>
    <w:rsid w:val="009C3E4C"/>
    <w:rsid w:val="009C4AF2"/>
    <w:rsid w:val="009D06C9"/>
    <w:rsid w:val="009D17B8"/>
    <w:rsid w:val="009D2026"/>
    <w:rsid w:val="009D2AD2"/>
    <w:rsid w:val="009D3A33"/>
    <w:rsid w:val="009D3C44"/>
    <w:rsid w:val="009D49C0"/>
    <w:rsid w:val="009D6FD9"/>
    <w:rsid w:val="009D7BB0"/>
    <w:rsid w:val="009E188B"/>
    <w:rsid w:val="009E2B47"/>
    <w:rsid w:val="009E34B6"/>
    <w:rsid w:val="009E6706"/>
    <w:rsid w:val="009E6FB7"/>
    <w:rsid w:val="009E7949"/>
    <w:rsid w:val="009F17DA"/>
    <w:rsid w:val="009F3422"/>
    <w:rsid w:val="009F6F38"/>
    <w:rsid w:val="00A0198E"/>
    <w:rsid w:val="00A01EE4"/>
    <w:rsid w:val="00A032CC"/>
    <w:rsid w:val="00A0533B"/>
    <w:rsid w:val="00A104B9"/>
    <w:rsid w:val="00A10CA0"/>
    <w:rsid w:val="00A12E0E"/>
    <w:rsid w:val="00A1451E"/>
    <w:rsid w:val="00A1596C"/>
    <w:rsid w:val="00A168A9"/>
    <w:rsid w:val="00A16A6D"/>
    <w:rsid w:val="00A21416"/>
    <w:rsid w:val="00A23B42"/>
    <w:rsid w:val="00A26CBB"/>
    <w:rsid w:val="00A301A8"/>
    <w:rsid w:val="00A3260D"/>
    <w:rsid w:val="00A363EE"/>
    <w:rsid w:val="00A36CE8"/>
    <w:rsid w:val="00A46FD5"/>
    <w:rsid w:val="00A47434"/>
    <w:rsid w:val="00A5036A"/>
    <w:rsid w:val="00A528F6"/>
    <w:rsid w:val="00A53D7F"/>
    <w:rsid w:val="00A55AA0"/>
    <w:rsid w:val="00A614E8"/>
    <w:rsid w:val="00A626FD"/>
    <w:rsid w:val="00A627CC"/>
    <w:rsid w:val="00A62DF1"/>
    <w:rsid w:val="00A63F23"/>
    <w:rsid w:val="00A64818"/>
    <w:rsid w:val="00A652BE"/>
    <w:rsid w:val="00A65C5A"/>
    <w:rsid w:val="00A66804"/>
    <w:rsid w:val="00A66E27"/>
    <w:rsid w:val="00A67E6A"/>
    <w:rsid w:val="00A7051A"/>
    <w:rsid w:val="00A71458"/>
    <w:rsid w:val="00A72612"/>
    <w:rsid w:val="00A728E6"/>
    <w:rsid w:val="00A73387"/>
    <w:rsid w:val="00A77DDE"/>
    <w:rsid w:val="00A84224"/>
    <w:rsid w:val="00A849AB"/>
    <w:rsid w:val="00A8527E"/>
    <w:rsid w:val="00A85A59"/>
    <w:rsid w:val="00A877BC"/>
    <w:rsid w:val="00A8781E"/>
    <w:rsid w:val="00A90594"/>
    <w:rsid w:val="00A911D1"/>
    <w:rsid w:val="00A92097"/>
    <w:rsid w:val="00A92AF8"/>
    <w:rsid w:val="00A93403"/>
    <w:rsid w:val="00A94838"/>
    <w:rsid w:val="00A9488A"/>
    <w:rsid w:val="00A94F7B"/>
    <w:rsid w:val="00A97FDB"/>
    <w:rsid w:val="00AA1D1E"/>
    <w:rsid w:val="00AA1D8D"/>
    <w:rsid w:val="00AA2604"/>
    <w:rsid w:val="00AA55DC"/>
    <w:rsid w:val="00AA755B"/>
    <w:rsid w:val="00AB0F0B"/>
    <w:rsid w:val="00AB142E"/>
    <w:rsid w:val="00AB1AA2"/>
    <w:rsid w:val="00AB1AB1"/>
    <w:rsid w:val="00AB243E"/>
    <w:rsid w:val="00AB3851"/>
    <w:rsid w:val="00AB5011"/>
    <w:rsid w:val="00AB5175"/>
    <w:rsid w:val="00AB756E"/>
    <w:rsid w:val="00AB7BD4"/>
    <w:rsid w:val="00AC12C2"/>
    <w:rsid w:val="00AC3701"/>
    <w:rsid w:val="00AC532B"/>
    <w:rsid w:val="00AC56C3"/>
    <w:rsid w:val="00AD047A"/>
    <w:rsid w:val="00AD090F"/>
    <w:rsid w:val="00AD22A3"/>
    <w:rsid w:val="00AD27C7"/>
    <w:rsid w:val="00AD36DE"/>
    <w:rsid w:val="00AD405E"/>
    <w:rsid w:val="00AD6816"/>
    <w:rsid w:val="00AD7019"/>
    <w:rsid w:val="00AE0746"/>
    <w:rsid w:val="00AE078F"/>
    <w:rsid w:val="00AE1BD3"/>
    <w:rsid w:val="00AE3438"/>
    <w:rsid w:val="00AE5933"/>
    <w:rsid w:val="00AE6C44"/>
    <w:rsid w:val="00AE75AD"/>
    <w:rsid w:val="00AF1ACB"/>
    <w:rsid w:val="00AF35C5"/>
    <w:rsid w:val="00AF56BA"/>
    <w:rsid w:val="00B00822"/>
    <w:rsid w:val="00B00F18"/>
    <w:rsid w:val="00B01135"/>
    <w:rsid w:val="00B01DE1"/>
    <w:rsid w:val="00B01FA6"/>
    <w:rsid w:val="00B025E5"/>
    <w:rsid w:val="00B05064"/>
    <w:rsid w:val="00B05B8F"/>
    <w:rsid w:val="00B05C63"/>
    <w:rsid w:val="00B0618C"/>
    <w:rsid w:val="00B0655E"/>
    <w:rsid w:val="00B067EA"/>
    <w:rsid w:val="00B07640"/>
    <w:rsid w:val="00B10AF9"/>
    <w:rsid w:val="00B10E1D"/>
    <w:rsid w:val="00B13A87"/>
    <w:rsid w:val="00B146B6"/>
    <w:rsid w:val="00B146F0"/>
    <w:rsid w:val="00B15472"/>
    <w:rsid w:val="00B16CC5"/>
    <w:rsid w:val="00B174E7"/>
    <w:rsid w:val="00B20FBA"/>
    <w:rsid w:val="00B2153D"/>
    <w:rsid w:val="00B2227A"/>
    <w:rsid w:val="00B22D99"/>
    <w:rsid w:val="00B23189"/>
    <w:rsid w:val="00B244D8"/>
    <w:rsid w:val="00B247F6"/>
    <w:rsid w:val="00B25D86"/>
    <w:rsid w:val="00B26C59"/>
    <w:rsid w:val="00B278D7"/>
    <w:rsid w:val="00B30D4B"/>
    <w:rsid w:val="00B31BA7"/>
    <w:rsid w:val="00B3374B"/>
    <w:rsid w:val="00B338D0"/>
    <w:rsid w:val="00B34FA4"/>
    <w:rsid w:val="00B360FF"/>
    <w:rsid w:val="00B36540"/>
    <w:rsid w:val="00B36DFC"/>
    <w:rsid w:val="00B377BD"/>
    <w:rsid w:val="00B40017"/>
    <w:rsid w:val="00B4256C"/>
    <w:rsid w:val="00B43E04"/>
    <w:rsid w:val="00B4565F"/>
    <w:rsid w:val="00B466AD"/>
    <w:rsid w:val="00B47730"/>
    <w:rsid w:val="00B47E54"/>
    <w:rsid w:val="00B518DF"/>
    <w:rsid w:val="00B51F63"/>
    <w:rsid w:val="00B52069"/>
    <w:rsid w:val="00B55376"/>
    <w:rsid w:val="00B576DC"/>
    <w:rsid w:val="00B600C2"/>
    <w:rsid w:val="00B6269E"/>
    <w:rsid w:val="00B632FF"/>
    <w:rsid w:val="00B64089"/>
    <w:rsid w:val="00B666AD"/>
    <w:rsid w:val="00B671CB"/>
    <w:rsid w:val="00B678C6"/>
    <w:rsid w:val="00B71293"/>
    <w:rsid w:val="00B73C20"/>
    <w:rsid w:val="00B766BA"/>
    <w:rsid w:val="00B77D82"/>
    <w:rsid w:val="00B80CDA"/>
    <w:rsid w:val="00B817CB"/>
    <w:rsid w:val="00B84A98"/>
    <w:rsid w:val="00B853A0"/>
    <w:rsid w:val="00B90285"/>
    <w:rsid w:val="00B90482"/>
    <w:rsid w:val="00B91774"/>
    <w:rsid w:val="00B9298F"/>
    <w:rsid w:val="00B94043"/>
    <w:rsid w:val="00B957E7"/>
    <w:rsid w:val="00B96932"/>
    <w:rsid w:val="00BA022C"/>
    <w:rsid w:val="00BA06A8"/>
    <w:rsid w:val="00BA261F"/>
    <w:rsid w:val="00BA2F58"/>
    <w:rsid w:val="00BA3691"/>
    <w:rsid w:val="00BA76EE"/>
    <w:rsid w:val="00BB3B5A"/>
    <w:rsid w:val="00BB5101"/>
    <w:rsid w:val="00BB7FF1"/>
    <w:rsid w:val="00BC08D9"/>
    <w:rsid w:val="00BC2616"/>
    <w:rsid w:val="00BC31B2"/>
    <w:rsid w:val="00BC3208"/>
    <w:rsid w:val="00BC4F95"/>
    <w:rsid w:val="00BC5C52"/>
    <w:rsid w:val="00BC6479"/>
    <w:rsid w:val="00BC64F6"/>
    <w:rsid w:val="00BC77BF"/>
    <w:rsid w:val="00BD096A"/>
    <w:rsid w:val="00BD1716"/>
    <w:rsid w:val="00BD4483"/>
    <w:rsid w:val="00BD4C03"/>
    <w:rsid w:val="00BD5413"/>
    <w:rsid w:val="00BD65DD"/>
    <w:rsid w:val="00BD71C5"/>
    <w:rsid w:val="00BE11D5"/>
    <w:rsid w:val="00BE1C20"/>
    <w:rsid w:val="00BE1E32"/>
    <w:rsid w:val="00BE53E6"/>
    <w:rsid w:val="00BE5B2C"/>
    <w:rsid w:val="00BE5D70"/>
    <w:rsid w:val="00BE65AC"/>
    <w:rsid w:val="00BE7535"/>
    <w:rsid w:val="00BF15A7"/>
    <w:rsid w:val="00BF318D"/>
    <w:rsid w:val="00BF4B67"/>
    <w:rsid w:val="00BF622E"/>
    <w:rsid w:val="00BF7524"/>
    <w:rsid w:val="00C0117B"/>
    <w:rsid w:val="00C029B4"/>
    <w:rsid w:val="00C036CD"/>
    <w:rsid w:val="00C037A5"/>
    <w:rsid w:val="00C06E74"/>
    <w:rsid w:val="00C10A43"/>
    <w:rsid w:val="00C140B7"/>
    <w:rsid w:val="00C143EC"/>
    <w:rsid w:val="00C146BC"/>
    <w:rsid w:val="00C153A3"/>
    <w:rsid w:val="00C16109"/>
    <w:rsid w:val="00C163CF"/>
    <w:rsid w:val="00C2092B"/>
    <w:rsid w:val="00C23CBC"/>
    <w:rsid w:val="00C27CE0"/>
    <w:rsid w:val="00C334B2"/>
    <w:rsid w:val="00C35E87"/>
    <w:rsid w:val="00C37315"/>
    <w:rsid w:val="00C3778E"/>
    <w:rsid w:val="00C40721"/>
    <w:rsid w:val="00C41DEF"/>
    <w:rsid w:val="00C43185"/>
    <w:rsid w:val="00C4350A"/>
    <w:rsid w:val="00C43703"/>
    <w:rsid w:val="00C44AFE"/>
    <w:rsid w:val="00C4575D"/>
    <w:rsid w:val="00C4644D"/>
    <w:rsid w:val="00C474DC"/>
    <w:rsid w:val="00C51B74"/>
    <w:rsid w:val="00C52D10"/>
    <w:rsid w:val="00C540F6"/>
    <w:rsid w:val="00C56766"/>
    <w:rsid w:val="00C6012B"/>
    <w:rsid w:val="00C6087C"/>
    <w:rsid w:val="00C62CA5"/>
    <w:rsid w:val="00C65416"/>
    <w:rsid w:val="00C6548D"/>
    <w:rsid w:val="00C65A10"/>
    <w:rsid w:val="00C66171"/>
    <w:rsid w:val="00C67117"/>
    <w:rsid w:val="00C679E0"/>
    <w:rsid w:val="00C71685"/>
    <w:rsid w:val="00C73CA4"/>
    <w:rsid w:val="00C7522A"/>
    <w:rsid w:val="00C755F8"/>
    <w:rsid w:val="00C815BC"/>
    <w:rsid w:val="00C83ED2"/>
    <w:rsid w:val="00C84532"/>
    <w:rsid w:val="00C873C1"/>
    <w:rsid w:val="00C90722"/>
    <w:rsid w:val="00C910CB"/>
    <w:rsid w:val="00C91C71"/>
    <w:rsid w:val="00C94328"/>
    <w:rsid w:val="00C95D8C"/>
    <w:rsid w:val="00C97A4F"/>
    <w:rsid w:val="00CA2BE3"/>
    <w:rsid w:val="00CA45AE"/>
    <w:rsid w:val="00CA4C59"/>
    <w:rsid w:val="00CA4F5C"/>
    <w:rsid w:val="00CA5C45"/>
    <w:rsid w:val="00CA5EC6"/>
    <w:rsid w:val="00CB0664"/>
    <w:rsid w:val="00CB14F3"/>
    <w:rsid w:val="00CB6251"/>
    <w:rsid w:val="00CB7074"/>
    <w:rsid w:val="00CB7B28"/>
    <w:rsid w:val="00CC04E4"/>
    <w:rsid w:val="00CC2334"/>
    <w:rsid w:val="00CC3533"/>
    <w:rsid w:val="00CD0DBF"/>
    <w:rsid w:val="00CD246D"/>
    <w:rsid w:val="00CD3080"/>
    <w:rsid w:val="00CD6122"/>
    <w:rsid w:val="00CD6926"/>
    <w:rsid w:val="00CE038E"/>
    <w:rsid w:val="00CE0A0B"/>
    <w:rsid w:val="00CE16AC"/>
    <w:rsid w:val="00CE3149"/>
    <w:rsid w:val="00CE3CAE"/>
    <w:rsid w:val="00CE6E39"/>
    <w:rsid w:val="00CF3430"/>
    <w:rsid w:val="00CF38B1"/>
    <w:rsid w:val="00CF6788"/>
    <w:rsid w:val="00D025C3"/>
    <w:rsid w:val="00D02C0B"/>
    <w:rsid w:val="00D030D0"/>
    <w:rsid w:val="00D03251"/>
    <w:rsid w:val="00D0511E"/>
    <w:rsid w:val="00D06D94"/>
    <w:rsid w:val="00D10430"/>
    <w:rsid w:val="00D11771"/>
    <w:rsid w:val="00D11A74"/>
    <w:rsid w:val="00D1294A"/>
    <w:rsid w:val="00D15D6E"/>
    <w:rsid w:val="00D16790"/>
    <w:rsid w:val="00D16F3C"/>
    <w:rsid w:val="00D17318"/>
    <w:rsid w:val="00D175EB"/>
    <w:rsid w:val="00D176D2"/>
    <w:rsid w:val="00D2064F"/>
    <w:rsid w:val="00D207C3"/>
    <w:rsid w:val="00D20D7A"/>
    <w:rsid w:val="00D21818"/>
    <w:rsid w:val="00D21E71"/>
    <w:rsid w:val="00D230AD"/>
    <w:rsid w:val="00D23218"/>
    <w:rsid w:val="00D2383A"/>
    <w:rsid w:val="00D26607"/>
    <w:rsid w:val="00D31040"/>
    <w:rsid w:val="00D3154B"/>
    <w:rsid w:val="00D33138"/>
    <w:rsid w:val="00D336C3"/>
    <w:rsid w:val="00D34510"/>
    <w:rsid w:val="00D34BB0"/>
    <w:rsid w:val="00D34D90"/>
    <w:rsid w:val="00D35624"/>
    <w:rsid w:val="00D35B69"/>
    <w:rsid w:val="00D3654F"/>
    <w:rsid w:val="00D37D77"/>
    <w:rsid w:val="00D417D9"/>
    <w:rsid w:val="00D4393C"/>
    <w:rsid w:val="00D45D68"/>
    <w:rsid w:val="00D46870"/>
    <w:rsid w:val="00D50903"/>
    <w:rsid w:val="00D51AF0"/>
    <w:rsid w:val="00D54BCB"/>
    <w:rsid w:val="00D56022"/>
    <w:rsid w:val="00D56D15"/>
    <w:rsid w:val="00D60176"/>
    <w:rsid w:val="00D61A13"/>
    <w:rsid w:val="00D625B8"/>
    <w:rsid w:val="00D626AB"/>
    <w:rsid w:val="00D628C6"/>
    <w:rsid w:val="00D636B1"/>
    <w:rsid w:val="00D638E4"/>
    <w:rsid w:val="00D63CC4"/>
    <w:rsid w:val="00D63E8F"/>
    <w:rsid w:val="00D64302"/>
    <w:rsid w:val="00D65000"/>
    <w:rsid w:val="00D65282"/>
    <w:rsid w:val="00D6565B"/>
    <w:rsid w:val="00D65E25"/>
    <w:rsid w:val="00D7286D"/>
    <w:rsid w:val="00D751C1"/>
    <w:rsid w:val="00D75770"/>
    <w:rsid w:val="00D76C2F"/>
    <w:rsid w:val="00D801E1"/>
    <w:rsid w:val="00D81D37"/>
    <w:rsid w:val="00D83425"/>
    <w:rsid w:val="00D838D7"/>
    <w:rsid w:val="00D8483B"/>
    <w:rsid w:val="00D84CA2"/>
    <w:rsid w:val="00D85956"/>
    <w:rsid w:val="00D872C5"/>
    <w:rsid w:val="00D87B2C"/>
    <w:rsid w:val="00D920B3"/>
    <w:rsid w:val="00D92D21"/>
    <w:rsid w:val="00D936EA"/>
    <w:rsid w:val="00D9433E"/>
    <w:rsid w:val="00D9552E"/>
    <w:rsid w:val="00D9671B"/>
    <w:rsid w:val="00D97569"/>
    <w:rsid w:val="00D97B09"/>
    <w:rsid w:val="00DA0225"/>
    <w:rsid w:val="00DA171F"/>
    <w:rsid w:val="00DA5077"/>
    <w:rsid w:val="00DA5482"/>
    <w:rsid w:val="00DA5663"/>
    <w:rsid w:val="00DB06BE"/>
    <w:rsid w:val="00DB1B24"/>
    <w:rsid w:val="00DB1BB9"/>
    <w:rsid w:val="00DB2D44"/>
    <w:rsid w:val="00DB30FE"/>
    <w:rsid w:val="00DB53A8"/>
    <w:rsid w:val="00DB72EE"/>
    <w:rsid w:val="00DB73EE"/>
    <w:rsid w:val="00DB788C"/>
    <w:rsid w:val="00DC04DA"/>
    <w:rsid w:val="00DC05A6"/>
    <w:rsid w:val="00DC1732"/>
    <w:rsid w:val="00DC3A53"/>
    <w:rsid w:val="00DC53B6"/>
    <w:rsid w:val="00DC7BE6"/>
    <w:rsid w:val="00DC7C40"/>
    <w:rsid w:val="00DD016B"/>
    <w:rsid w:val="00DD2E25"/>
    <w:rsid w:val="00DD3690"/>
    <w:rsid w:val="00DD6D35"/>
    <w:rsid w:val="00DE25B0"/>
    <w:rsid w:val="00DE27A1"/>
    <w:rsid w:val="00DE293E"/>
    <w:rsid w:val="00DE5E4A"/>
    <w:rsid w:val="00DE686F"/>
    <w:rsid w:val="00DF1319"/>
    <w:rsid w:val="00DF2752"/>
    <w:rsid w:val="00DF3AE5"/>
    <w:rsid w:val="00DF4AA6"/>
    <w:rsid w:val="00DF5235"/>
    <w:rsid w:val="00E02008"/>
    <w:rsid w:val="00E026A5"/>
    <w:rsid w:val="00E042D1"/>
    <w:rsid w:val="00E07CD0"/>
    <w:rsid w:val="00E07E29"/>
    <w:rsid w:val="00E10254"/>
    <w:rsid w:val="00E13AFD"/>
    <w:rsid w:val="00E13FC9"/>
    <w:rsid w:val="00E14262"/>
    <w:rsid w:val="00E21209"/>
    <w:rsid w:val="00E217F0"/>
    <w:rsid w:val="00E232B3"/>
    <w:rsid w:val="00E240D2"/>
    <w:rsid w:val="00E265F2"/>
    <w:rsid w:val="00E313C9"/>
    <w:rsid w:val="00E314A1"/>
    <w:rsid w:val="00E3749C"/>
    <w:rsid w:val="00E37B9D"/>
    <w:rsid w:val="00E4040E"/>
    <w:rsid w:val="00E40A61"/>
    <w:rsid w:val="00E412FF"/>
    <w:rsid w:val="00E42614"/>
    <w:rsid w:val="00E44D23"/>
    <w:rsid w:val="00E44EFD"/>
    <w:rsid w:val="00E45711"/>
    <w:rsid w:val="00E462E4"/>
    <w:rsid w:val="00E50389"/>
    <w:rsid w:val="00E50CD0"/>
    <w:rsid w:val="00E5321C"/>
    <w:rsid w:val="00E54A78"/>
    <w:rsid w:val="00E55CBA"/>
    <w:rsid w:val="00E5604A"/>
    <w:rsid w:val="00E56671"/>
    <w:rsid w:val="00E575C6"/>
    <w:rsid w:val="00E60BC1"/>
    <w:rsid w:val="00E65607"/>
    <w:rsid w:val="00E66AA6"/>
    <w:rsid w:val="00E67458"/>
    <w:rsid w:val="00E70C0D"/>
    <w:rsid w:val="00E715E0"/>
    <w:rsid w:val="00E71BCF"/>
    <w:rsid w:val="00E73466"/>
    <w:rsid w:val="00E751A8"/>
    <w:rsid w:val="00E76C90"/>
    <w:rsid w:val="00E8159E"/>
    <w:rsid w:val="00E8242D"/>
    <w:rsid w:val="00E844D1"/>
    <w:rsid w:val="00E85B6B"/>
    <w:rsid w:val="00E9009D"/>
    <w:rsid w:val="00E90712"/>
    <w:rsid w:val="00E91ADA"/>
    <w:rsid w:val="00E9425D"/>
    <w:rsid w:val="00E9487E"/>
    <w:rsid w:val="00E94C08"/>
    <w:rsid w:val="00EA5085"/>
    <w:rsid w:val="00EA53AA"/>
    <w:rsid w:val="00EA5C61"/>
    <w:rsid w:val="00EA608D"/>
    <w:rsid w:val="00EB23C6"/>
    <w:rsid w:val="00EB3BC1"/>
    <w:rsid w:val="00EB7B92"/>
    <w:rsid w:val="00EC2CC5"/>
    <w:rsid w:val="00EC3C07"/>
    <w:rsid w:val="00EC57FD"/>
    <w:rsid w:val="00EC685F"/>
    <w:rsid w:val="00ED12DC"/>
    <w:rsid w:val="00ED4A1D"/>
    <w:rsid w:val="00ED5822"/>
    <w:rsid w:val="00ED5D88"/>
    <w:rsid w:val="00EE04F9"/>
    <w:rsid w:val="00EE2491"/>
    <w:rsid w:val="00EE2CBE"/>
    <w:rsid w:val="00EE33E3"/>
    <w:rsid w:val="00EF1644"/>
    <w:rsid w:val="00EF421F"/>
    <w:rsid w:val="00EF4718"/>
    <w:rsid w:val="00EF7915"/>
    <w:rsid w:val="00F00236"/>
    <w:rsid w:val="00F0038D"/>
    <w:rsid w:val="00F01252"/>
    <w:rsid w:val="00F0505C"/>
    <w:rsid w:val="00F063C6"/>
    <w:rsid w:val="00F10DF2"/>
    <w:rsid w:val="00F13DD1"/>
    <w:rsid w:val="00F1434B"/>
    <w:rsid w:val="00F20238"/>
    <w:rsid w:val="00F2389C"/>
    <w:rsid w:val="00F2412A"/>
    <w:rsid w:val="00F25454"/>
    <w:rsid w:val="00F30282"/>
    <w:rsid w:val="00F304E7"/>
    <w:rsid w:val="00F31AD9"/>
    <w:rsid w:val="00F3262E"/>
    <w:rsid w:val="00F35197"/>
    <w:rsid w:val="00F36A51"/>
    <w:rsid w:val="00F37E36"/>
    <w:rsid w:val="00F4106E"/>
    <w:rsid w:val="00F445E4"/>
    <w:rsid w:val="00F447A1"/>
    <w:rsid w:val="00F44C0F"/>
    <w:rsid w:val="00F45610"/>
    <w:rsid w:val="00F4711F"/>
    <w:rsid w:val="00F5106F"/>
    <w:rsid w:val="00F518C6"/>
    <w:rsid w:val="00F5362B"/>
    <w:rsid w:val="00F54E8B"/>
    <w:rsid w:val="00F56951"/>
    <w:rsid w:val="00F57F62"/>
    <w:rsid w:val="00F63108"/>
    <w:rsid w:val="00F6333D"/>
    <w:rsid w:val="00F64825"/>
    <w:rsid w:val="00F6541E"/>
    <w:rsid w:val="00F66FE7"/>
    <w:rsid w:val="00F73457"/>
    <w:rsid w:val="00F7469D"/>
    <w:rsid w:val="00F7608F"/>
    <w:rsid w:val="00F76A32"/>
    <w:rsid w:val="00F76F69"/>
    <w:rsid w:val="00F77317"/>
    <w:rsid w:val="00F809BF"/>
    <w:rsid w:val="00F82E4F"/>
    <w:rsid w:val="00F8402A"/>
    <w:rsid w:val="00F854F0"/>
    <w:rsid w:val="00F86A06"/>
    <w:rsid w:val="00F87555"/>
    <w:rsid w:val="00F908E9"/>
    <w:rsid w:val="00F92CF6"/>
    <w:rsid w:val="00F93CC9"/>
    <w:rsid w:val="00F95426"/>
    <w:rsid w:val="00F95CD9"/>
    <w:rsid w:val="00F95D88"/>
    <w:rsid w:val="00F96AE8"/>
    <w:rsid w:val="00FA0459"/>
    <w:rsid w:val="00FA19D8"/>
    <w:rsid w:val="00FA2047"/>
    <w:rsid w:val="00FA2F94"/>
    <w:rsid w:val="00FA4239"/>
    <w:rsid w:val="00FA4F00"/>
    <w:rsid w:val="00FA527D"/>
    <w:rsid w:val="00FA552E"/>
    <w:rsid w:val="00FA7CF9"/>
    <w:rsid w:val="00FB0FBF"/>
    <w:rsid w:val="00FB1BDA"/>
    <w:rsid w:val="00FB31EE"/>
    <w:rsid w:val="00FB3452"/>
    <w:rsid w:val="00FB353F"/>
    <w:rsid w:val="00FB3613"/>
    <w:rsid w:val="00FB4683"/>
    <w:rsid w:val="00FB7040"/>
    <w:rsid w:val="00FB77D6"/>
    <w:rsid w:val="00FC020F"/>
    <w:rsid w:val="00FC2064"/>
    <w:rsid w:val="00FC3903"/>
    <w:rsid w:val="00FC517B"/>
    <w:rsid w:val="00FC6267"/>
    <w:rsid w:val="00FC693F"/>
    <w:rsid w:val="00FC6A08"/>
    <w:rsid w:val="00FC6B6D"/>
    <w:rsid w:val="00FD14CF"/>
    <w:rsid w:val="00FD2C19"/>
    <w:rsid w:val="00FD33FA"/>
    <w:rsid w:val="00FD3448"/>
    <w:rsid w:val="00FD3D16"/>
    <w:rsid w:val="00FD3E3F"/>
    <w:rsid w:val="00FD5127"/>
    <w:rsid w:val="00FD794A"/>
    <w:rsid w:val="00FE1692"/>
    <w:rsid w:val="00FE1E7B"/>
    <w:rsid w:val="00FE2248"/>
    <w:rsid w:val="00FE3440"/>
    <w:rsid w:val="00FE36EE"/>
    <w:rsid w:val="00FE4189"/>
    <w:rsid w:val="00FF1E44"/>
    <w:rsid w:val="00FF24FC"/>
    <w:rsid w:val="00FF4EDE"/>
    <w:rsid w:val="00FF52E1"/>
    <w:rsid w:val="00FF6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42BDF1"/>
  <w14:defaultImageDpi w14:val="330"/>
  <w15:docId w15:val="{D9E55B6C-C9AF-452D-8F01-A438D478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GB"/>
    </w:rPr>
  </w:style>
  <w:style w:type="paragraph" w:styleId="Heading1">
    <w:name w:val="heading 1"/>
    <w:basedOn w:val="Normal"/>
    <w:next w:val="Normal"/>
    <w:link w:val="Heading1Char"/>
    <w:uiPriority w:val="9"/>
    <w:qFormat/>
    <w:rsid w:val="004111A4"/>
    <w:pPr>
      <w:keepNext/>
      <w:keepLines/>
      <w:spacing w:after="240" w:line="240" w:lineRule="auto"/>
      <w:outlineLvl w:val="0"/>
    </w:pPr>
    <w:rPr>
      <w:rFonts w:ascii="Poppins" w:eastAsiaTheme="majorEastAsia" w:hAnsi="Poppins" w:cstheme="majorBidi"/>
      <w:b/>
      <w:bCs/>
      <w:color w:val="0023C8"/>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4111A4"/>
    <w:rPr>
      <w:rFonts w:ascii="Poppins" w:eastAsiaTheme="majorEastAsia" w:hAnsi="Poppins" w:cstheme="majorBidi"/>
      <w:b/>
      <w:bCs/>
      <w:color w:val="0023C8"/>
      <w:sz w:val="36"/>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Table Legend,Bullet 1,Bullet List,Section 5"/>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aliases w:val="Dossier table,Section 3- footnotes,Summary box,Legemiddelverket 3,Tabellengitternetz,Summary Table"/>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2238F7"/>
  </w:style>
  <w:style w:type="character" w:styleId="Hyperlink">
    <w:name w:val="Hyperlink"/>
    <w:uiPriority w:val="99"/>
    <w:unhideWhenUsed/>
    <w:rsid w:val="00803CB0"/>
    <w:rPr>
      <w:color w:val="0023C8"/>
      <w:u w:val="single"/>
    </w:rPr>
  </w:style>
  <w:style w:type="character" w:styleId="UnresolvedMention">
    <w:name w:val="Unresolved Mention"/>
    <w:basedOn w:val="DefaultParagraphFont"/>
    <w:uiPriority w:val="99"/>
    <w:semiHidden/>
    <w:unhideWhenUsed/>
    <w:rsid w:val="00871B90"/>
    <w:rPr>
      <w:color w:val="605E5C"/>
      <w:shd w:val="clear" w:color="auto" w:fill="E1DFDD"/>
    </w:rPr>
  </w:style>
  <w:style w:type="paragraph" w:customStyle="1" w:styleId="EndNoteBibliographyTitle">
    <w:name w:val="EndNote Bibliography Title"/>
    <w:basedOn w:val="Normal"/>
    <w:link w:val="EndNoteBibliographyTitleChar"/>
    <w:rsid w:val="0091047D"/>
    <w:pPr>
      <w:spacing w:after="0"/>
      <w:jc w:val="center"/>
    </w:pPr>
    <w:rPr>
      <w:rFonts w:ascii="Poppins" w:hAnsi="Poppins" w:cs="Poppins"/>
      <w:noProof/>
      <w:sz w:val="20"/>
    </w:rPr>
  </w:style>
  <w:style w:type="character" w:customStyle="1" w:styleId="EndNoteBibliographyTitleChar">
    <w:name w:val="EndNote Bibliography Title Char"/>
    <w:basedOn w:val="DefaultParagraphFont"/>
    <w:link w:val="EndNoteBibliographyTitle"/>
    <w:rsid w:val="0091047D"/>
    <w:rPr>
      <w:rFonts w:ascii="Poppins" w:hAnsi="Poppins" w:cs="Poppins"/>
      <w:noProof/>
      <w:sz w:val="20"/>
      <w:lang w:val="en-GB"/>
    </w:rPr>
  </w:style>
  <w:style w:type="paragraph" w:customStyle="1" w:styleId="EndNoteBibliography">
    <w:name w:val="EndNote Bibliography"/>
    <w:basedOn w:val="Normal"/>
    <w:link w:val="EndNoteBibliographyChar"/>
    <w:rsid w:val="0091047D"/>
    <w:pPr>
      <w:spacing w:line="240" w:lineRule="auto"/>
    </w:pPr>
    <w:rPr>
      <w:rFonts w:ascii="Poppins" w:hAnsi="Poppins" w:cs="Poppins"/>
      <w:noProof/>
      <w:sz w:val="20"/>
    </w:rPr>
  </w:style>
  <w:style w:type="character" w:customStyle="1" w:styleId="EndNoteBibliographyChar">
    <w:name w:val="EndNote Bibliography Char"/>
    <w:basedOn w:val="DefaultParagraphFont"/>
    <w:link w:val="EndNoteBibliography"/>
    <w:rsid w:val="0091047D"/>
    <w:rPr>
      <w:rFonts w:ascii="Poppins" w:hAnsi="Poppins" w:cs="Poppins"/>
      <w:noProof/>
      <w:sz w:val="20"/>
      <w:lang w:val="en-GB"/>
    </w:rPr>
  </w:style>
  <w:style w:type="character" w:customStyle="1" w:styleId="ListParagraphChar">
    <w:name w:val="List Paragraph Char"/>
    <w:aliases w:val="Table Legend Char,Bullet 1 Char,Bullet List Char,Section 5 Char"/>
    <w:link w:val="ListParagraph"/>
    <w:uiPriority w:val="34"/>
    <w:rsid w:val="008D76EF"/>
  </w:style>
  <w:style w:type="paragraph" w:customStyle="1" w:styleId="Default">
    <w:name w:val="Default"/>
    <w:rsid w:val="00AB5011"/>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unhideWhenUsed/>
    <w:rsid w:val="00905FE9"/>
    <w:pPr>
      <w:tabs>
        <w:tab w:val="left" w:pos="480"/>
        <w:tab w:val="right" w:leader="dot" w:pos="8630"/>
      </w:tabs>
      <w:spacing w:before="60" w:after="60" w:line="240" w:lineRule="auto"/>
      <w:ind w:firstLine="220"/>
    </w:pPr>
    <w:rPr>
      <w:rFonts w:ascii="Poppins" w:eastAsia="Times New Roman" w:hAnsi="Poppins" w:cs="Poppins"/>
      <w:b/>
      <w:bCs/>
      <w:noProof/>
      <w:color w:val="000000" w:themeColor="text1"/>
      <w:sz w:val="18"/>
      <w:szCs w:val="18"/>
      <w:lang w:eastAsia="en-GB"/>
    </w:rPr>
  </w:style>
  <w:style w:type="paragraph" w:styleId="TOC2">
    <w:name w:val="toc 2"/>
    <w:basedOn w:val="Normal"/>
    <w:next w:val="Normal"/>
    <w:autoRedefine/>
    <w:uiPriority w:val="39"/>
    <w:unhideWhenUsed/>
    <w:rsid w:val="00C153A3"/>
    <w:pPr>
      <w:tabs>
        <w:tab w:val="right" w:leader="dot" w:pos="8630"/>
      </w:tabs>
      <w:spacing w:before="60" w:after="60"/>
      <w:ind w:left="220"/>
    </w:pPr>
  </w:style>
  <w:style w:type="paragraph" w:styleId="Revision">
    <w:name w:val="Revision"/>
    <w:hidden/>
    <w:uiPriority w:val="99"/>
    <w:semiHidden/>
    <w:rsid w:val="00F76A32"/>
    <w:pPr>
      <w:spacing w:after="0" w:line="240" w:lineRule="auto"/>
    </w:pPr>
  </w:style>
  <w:style w:type="character" w:styleId="CommentReference">
    <w:name w:val="annotation reference"/>
    <w:basedOn w:val="DefaultParagraphFont"/>
    <w:uiPriority w:val="99"/>
    <w:semiHidden/>
    <w:unhideWhenUsed/>
    <w:rsid w:val="00D63E8F"/>
    <w:rPr>
      <w:sz w:val="16"/>
      <w:szCs w:val="16"/>
    </w:rPr>
  </w:style>
  <w:style w:type="paragraph" w:styleId="CommentText">
    <w:name w:val="annotation text"/>
    <w:basedOn w:val="Normal"/>
    <w:link w:val="CommentTextChar"/>
    <w:uiPriority w:val="99"/>
    <w:unhideWhenUsed/>
    <w:rsid w:val="00D63E8F"/>
    <w:pPr>
      <w:spacing w:line="240" w:lineRule="auto"/>
    </w:pPr>
    <w:rPr>
      <w:sz w:val="20"/>
      <w:szCs w:val="20"/>
    </w:rPr>
  </w:style>
  <w:style w:type="character" w:customStyle="1" w:styleId="CommentTextChar">
    <w:name w:val="Comment Text Char"/>
    <w:basedOn w:val="DefaultParagraphFont"/>
    <w:link w:val="CommentText"/>
    <w:uiPriority w:val="99"/>
    <w:rsid w:val="00D63E8F"/>
    <w:rPr>
      <w:sz w:val="20"/>
      <w:szCs w:val="20"/>
    </w:rPr>
  </w:style>
  <w:style w:type="paragraph" w:styleId="CommentSubject">
    <w:name w:val="annotation subject"/>
    <w:basedOn w:val="CommentText"/>
    <w:next w:val="CommentText"/>
    <w:link w:val="CommentSubjectChar"/>
    <w:uiPriority w:val="99"/>
    <w:semiHidden/>
    <w:unhideWhenUsed/>
    <w:rsid w:val="00D63E8F"/>
    <w:rPr>
      <w:b/>
      <w:bCs/>
    </w:rPr>
  </w:style>
  <w:style w:type="character" w:customStyle="1" w:styleId="CommentSubjectChar">
    <w:name w:val="Comment Subject Char"/>
    <w:basedOn w:val="CommentTextChar"/>
    <w:link w:val="CommentSubject"/>
    <w:uiPriority w:val="99"/>
    <w:semiHidden/>
    <w:rsid w:val="00D63E8F"/>
    <w:rPr>
      <w:b/>
      <w:bCs/>
      <w:sz w:val="20"/>
      <w:szCs w:val="20"/>
    </w:rPr>
  </w:style>
  <w:style w:type="character" w:styleId="FollowedHyperlink">
    <w:name w:val="FollowedHyperlink"/>
    <w:basedOn w:val="DefaultParagraphFont"/>
    <w:uiPriority w:val="99"/>
    <w:semiHidden/>
    <w:unhideWhenUsed/>
    <w:rsid w:val="00DA54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hra.gov.uk/yellowcard" TargetMode="External"/><Relationship Id="rId18" Type="http://schemas.openxmlformats.org/officeDocument/2006/relationships/footer" Target="footer1.xml"/><Relationship Id="rId26" Type="http://schemas.openxmlformats.org/officeDocument/2006/relationships/hyperlink" Target="https://www.nice.org.uk/news/articles/teplizumab-to-delay-the-onset-of-type-1-diabetes-recommended"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UKdrugsafety@sanofi.com" TargetMode="External"/><Relationship Id="rId17" Type="http://schemas.openxmlformats.org/officeDocument/2006/relationships/header" Target="header1.xml"/><Relationship Id="rId25" Type="http://schemas.openxmlformats.org/officeDocument/2006/relationships/hyperlink" Target="http://www.mhra.gov.uk/yellowcard"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hra.gov.uk/yellowcard" TargetMode="External"/><Relationship Id="rId24" Type="http://schemas.openxmlformats.org/officeDocument/2006/relationships/hyperlink" Target="http://www.mhra.gov.uk/yellowcard"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footer" Target="foot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Kdrugsafety@sanofi.com" TargetMode="External"/><Relationship Id="rId22" Type="http://schemas.openxmlformats.org/officeDocument/2006/relationships/footer" Target="footer4.xml"/><Relationship Id="rId27" Type="http://schemas.openxmlformats.org/officeDocument/2006/relationships/hyperlink" Target="https://www.nice.org.uk/guidance/ta1176"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3E69FB5491124D8DBFCE5C9DBCF79B" ma:contentTypeVersion="16" ma:contentTypeDescription="Create a new document." ma:contentTypeScope="" ma:versionID="4d65da4da50d5c3caa74a2e258a058ff">
  <xsd:schema xmlns:xsd="http://www.w3.org/2001/XMLSchema" xmlns:xs="http://www.w3.org/2001/XMLSchema" xmlns:p="http://schemas.microsoft.com/office/2006/metadata/properties" xmlns:ns2="f12d4896-05c7-4f29-9446-125b80c52fd1" xmlns:ns3="5c4ef8ca-5dfd-488e-8a18-baa8b70b57fd" targetNamespace="http://schemas.microsoft.com/office/2006/metadata/properties" ma:root="true" ma:fieldsID="0932dfd5a48067a3a0ecb5c8d6bdafb1" ns2:_="" ns3:_="">
    <xsd:import namespace="f12d4896-05c7-4f29-9446-125b80c52fd1"/>
    <xsd:import namespace="5c4ef8ca-5dfd-488e-8a18-baa8b70b57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d4896-05c7-4f29-9446-125b80c52f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fb0b088-da3c-47ed-872c-fc1360427a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4ef8ca-5dfd-488e-8a18-baa8b70b57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6b62aa8-ac66-4c81-9079-7a12310c8664}" ma:internalName="TaxCatchAll" ma:showField="CatchAllData" ma:web="5c4ef8ca-5dfd-488e-8a18-baa8b70b57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12d4896-05c7-4f29-9446-125b80c52fd1">
      <Terms xmlns="http://schemas.microsoft.com/office/infopath/2007/PartnerControls"/>
    </lcf76f155ced4ddcb4097134ff3c332f>
    <TaxCatchAll xmlns="5c4ef8ca-5dfd-488e-8a18-baa8b70b57f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DFB0387-ECCF-4B49-9410-D59C08FF8797}">
  <ds:schemaRefs>
    <ds:schemaRef ds:uri="http://schemas.microsoft.com/sharepoint/v3/contenttype/forms"/>
  </ds:schemaRefs>
</ds:datastoreItem>
</file>

<file path=customXml/itemProps3.xml><?xml version="1.0" encoding="utf-8"?>
<ds:datastoreItem xmlns:ds="http://schemas.openxmlformats.org/officeDocument/2006/customXml" ds:itemID="{31736969-E0D9-43FA-971F-A4940F40D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d4896-05c7-4f29-9446-125b80c52fd1"/>
    <ds:schemaRef ds:uri="5c4ef8ca-5dfd-488e-8a18-baa8b70b5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159FAF-5B10-4C58-B704-E2094AD6B5AA}">
  <ds:schemaRefs>
    <ds:schemaRef ds:uri="http://schemas.microsoft.com/office/2006/metadata/properties"/>
    <ds:schemaRef ds:uri="http://schemas.microsoft.com/office/infopath/2007/PartnerControls"/>
    <ds:schemaRef ds:uri="f12d4896-05c7-4f29-9446-125b80c52fd1"/>
    <ds:schemaRef ds:uri="5c4ef8ca-5dfd-488e-8a18-baa8b70b57fd"/>
  </ds:schemaRefs>
</ds:datastoreItem>
</file>

<file path=docMetadata/LabelInfo.xml><?xml version="1.0" encoding="utf-8"?>
<clbl:labelList xmlns:clbl="http://schemas.microsoft.com/office/2020/mipLabelMetadata">
  <clbl:label id="{9e3dcb88-8425-4e1d-b1a3-bd5572915bb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8334</Words>
  <Characters>50506</Characters>
  <Application>Microsoft Office Word</Application>
  <DocSecurity>0</DocSecurity>
  <Lines>1942</Lines>
  <Paragraphs>1400</Paragraphs>
  <ScaleCrop>false</ScaleCrop>
  <HeadingPairs>
    <vt:vector size="2" baseType="variant">
      <vt:variant>
        <vt:lpstr>Title</vt:lpstr>
      </vt:variant>
      <vt:variant>
        <vt:i4>1</vt:i4>
      </vt:variant>
    </vt:vector>
  </HeadingPairs>
  <TitlesOfParts>
    <vt:vector size="1" baseType="lpstr">
      <vt:lpstr>Business case template for the delivery of TZIELD</vt:lpstr>
    </vt:vector>
  </TitlesOfParts>
  <Manager/>
  <Company/>
  <LinksUpToDate>false</LinksUpToDate>
  <CharactersWithSpaces>57440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 for the delivery of TZIELD</dc:title>
  <dc:subject/>
  <dc:creator>python-docx</dc:creator>
  <cp:keywords/>
  <dc:description>generated by python-docx</dc:description>
  <cp:lastModifiedBy>Diane McGinn</cp:lastModifiedBy>
  <cp:revision>2</cp:revision>
  <cp:lastPrinted>2026-08-17T13:16:00Z</cp:lastPrinted>
  <dcterms:created xsi:type="dcterms:W3CDTF">2026-09-08T15:04:00Z</dcterms:created>
  <dcterms:modified xsi:type="dcterms:W3CDTF">2026-09-08T15:04:00Z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631b8d0f,4cfc0ce7,6308915f</vt:lpwstr>
  </property>
  <property fmtid="{D5CDD505-2E9C-101B-9397-08002B2CF9AE}" pid="3" name="ClassificationContentMarkingHeaderFontProps">
    <vt:lpwstr>#4a569e,10,Aptos</vt:lpwstr>
  </property>
  <property fmtid="{D5CDD505-2E9C-101B-9397-08002B2CF9AE}" pid="4" name="ClassificationContentMarkingHeaderText">
    <vt:lpwstr>Internal</vt:lpwstr>
  </property>
  <property fmtid="{D5CDD505-2E9C-101B-9397-08002B2CF9AE}" pid="5" name="ContentTypeId">
    <vt:lpwstr>0x010100253E69FB5491124D8DBFCE5C9DBCF79B</vt:lpwstr>
  </property>
  <property fmtid="{D5CDD505-2E9C-101B-9397-08002B2CF9AE}" pid="6" name="MediaServiceImageTags">
    <vt:lpwstr/>
  </property>
</Properties>
</file>